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2B5AF">
      <w:pPr>
        <w:adjustRightInd w:val="0"/>
        <w:snapToGrid w:val="0"/>
        <w:spacing w:line="620" w:lineRule="exact"/>
        <w:jc w:val="center"/>
        <w:rPr>
          <w:rFonts w:ascii="方正粗黑宋简体" w:hAnsi="方正粗黑宋简体" w:eastAsia="方正粗黑宋简体" w:cs="方正粗黑宋简体"/>
          <w:color w:val="000000"/>
          <w:sz w:val="36"/>
          <w:szCs w:val="36"/>
          <w:u w:val="single"/>
        </w:rPr>
      </w:pPr>
      <w:r>
        <w:rPr>
          <w:rFonts w:hint="eastAsia" w:ascii="方正粗黑宋简体" w:hAnsi="方正粗黑宋简体" w:eastAsia="方正粗黑宋简体" w:cs="方正粗黑宋简体"/>
          <w:color w:val="000000"/>
          <w:sz w:val="36"/>
          <w:szCs w:val="36"/>
          <w:u w:val="single"/>
        </w:rPr>
        <w:t>昆明城市污水处理运营有限责任公司</w:t>
      </w:r>
    </w:p>
    <w:p w14:paraId="261BE08C">
      <w:pPr>
        <w:adjustRightInd w:val="0"/>
        <w:snapToGrid w:val="0"/>
        <w:spacing w:line="620" w:lineRule="exact"/>
        <w:jc w:val="center"/>
        <w:rPr>
          <w:rFonts w:hint="eastAsia" w:ascii="方正粗黑宋简体" w:hAnsi="方正粗黑宋简体" w:eastAsia="方正粗黑宋简体" w:cs="方正粗黑宋简体"/>
          <w:color w:val="000000"/>
          <w:sz w:val="36"/>
          <w:szCs w:val="36"/>
          <w:u w:val="single"/>
          <w:lang w:val="en-US" w:eastAsia="zh-CN"/>
        </w:rPr>
      </w:pPr>
      <w:r>
        <w:rPr>
          <w:rFonts w:hint="eastAsia" w:ascii="方正粗黑宋简体" w:hAnsi="方正粗黑宋简体" w:eastAsia="方正粗黑宋简体" w:cs="方正粗黑宋简体"/>
          <w:color w:val="000000"/>
          <w:sz w:val="36"/>
          <w:szCs w:val="36"/>
          <w:u w:val="single"/>
        </w:rPr>
        <w:t>滇池水务第二办公区物业管理单位选聘项目</w:t>
      </w:r>
    </w:p>
    <w:p w14:paraId="320EABC8">
      <w:pPr>
        <w:adjustRightInd w:val="0"/>
        <w:snapToGrid w:val="0"/>
        <w:spacing w:line="620" w:lineRule="exact"/>
        <w:jc w:val="center"/>
        <w:rPr>
          <w:rFonts w:hint="eastAsia" w:ascii="方正粗黑宋简体" w:hAnsi="方正粗黑宋简体" w:eastAsia="方正粗黑宋简体" w:cs="方正粗黑宋简体"/>
          <w:color w:val="000000"/>
          <w:sz w:val="36"/>
          <w:szCs w:val="36"/>
          <w:u w:val="single"/>
        </w:rPr>
      </w:pPr>
      <w:r>
        <w:rPr>
          <w:rFonts w:hint="eastAsia" w:ascii="方正粗黑宋简体" w:hAnsi="方正粗黑宋简体" w:eastAsia="方正粗黑宋简体" w:cs="方正粗黑宋简体"/>
          <w:color w:val="000000"/>
          <w:sz w:val="36"/>
          <w:szCs w:val="36"/>
          <w:u w:val="single"/>
        </w:rPr>
        <w:t>询价比选公告</w:t>
      </w:r>
    </w:p>
    <w:p w14:paraId="3D325315">
      <w:pPr>
        <w:tabs>
          <w:tab w:val="left" w:pos="540"/>
        </w:tabs>
        <w:adjustRightInd w:val="0"/>
        <w:snapToGrid w:val="0"/>
        <w:spacing w:line="360" w:lineRule="auto"/>
        <w:ind w:firstLine="482" w:firstLineChars="200"/>
        <w:rPr>
          <w:rFonts w:ascii="宋体" w:hAnsi="宋体" w:cs="宋体"/>
          <w:b/>
          <w:sz w:val="24"/>
        </w:rPr>
      </w:pPr>
    </w:p>
    <w:p w14:paraId="1F6504E7">
      <w:pPr>
        <w:keepNext w:val="0"/>
        <w:keepLines w:val="0"/>
        <w:pageBreakBefore w:val="0"/>
        <w:widowControl w:val="0"/>
        <w:tabs>
          <w:tab w:val="left" w:pos="540"/>
        </w:tabs>
        <w:kinsoku/>
        <w:wordWrap/>
        <w:overflowPunct/>
        <w:topLinePunct w:val="0"/>
        <w:autoSpaceDE/>
        <w:autoSpaceDN/>
        <w:bidi w:val="0"/>
        <w:adjustRightInd w:val="0"/>
        <w:snapToGrid w:val="0"/>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1.项目概况</w:t>
      </w:r>
    </w:p>
    <w:p w14:paraId="4A49B44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1.1比选项目名称：昆明城市污水处理运营有限责任公司滇池水务第二办公区物业管理单位选聘项目</w:t>
      </w:r>
      <w:r>
        <w:rPr>
          <w:rFonts w:hint="eastAsia" w:ascii="仿宋_GB2312" w:hAnsi="仿宋_GB2312" w:eastAsia="仿宋_GB2312" w:cs="仿宋_GB2312"/>
          <w:bCs/>
          <w:sz w:val="32"/>
          <w:szCs w:val="32"/>
          <w:lang w:eastAsia="zh-CN"/>
        </w:rPr>
        <w:t>。</w:t>
      </w:r>
    </w:p>
    <w:p w14:paraId="51593A9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1.2比选单位全称：昆明城市污水处理运营有限责任公司</w:t>
      </w:r>
      <w:r>
        <w:rPr>
          <w:rFonts w:hint="eastAsia" w:ascii="仿宋_GB2312" w:hAnsi="仿宋_GB2312" w:eastAsia="仿宋_GB2312" w:cs="仿宋_GB2312"/>
          <w:bCs/>
          <w:sz w:val="32"/>
          <w:szCs w:val="32"/>
          <w:lang w:eastAsia="zh-CN"/>
        </w:rPr>
        <w:t>。</w:t>
      </w:r>
    </w:p>
    <w:p w14:paraId="0D8A196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1.3合作期限：2026年8月1日至2026年10月31日</w:t>
      </w:r>
      <w:r>
        <w:rPr>
          <w:rFonts w:hint="eastAsia" w:ascii="仿宋_GB2312" w:hAnsi="仿宋_GB2312" w:eastAsia="仿宋_GB2312" w:cs="仿宋_GB2312"/>
          <w:bCs/>
          <w:sz w:val="32"/>
          <w:szCs w:val="32"/>
          <w:lang w:eastAsia="zh-CN"/>
        </w:rPr>
        <w:t>。</w:t>
      </w:r>
    </w:p>
    <w:p w14:paraId="6FAC4D5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1.4项目内容：完成昆明城市污水处理运营有限责任公司第二办公区4#楼物业管理服务、电梯维护保养服务、消防设施设备维护保养服务，包含但不限于以下内容：</w:t>
      </w:r>
    </w:p>
    <w:p w14:paraId="5564FCB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1.4.1</w:t>
      </w:r>
      <w:r>
        <w:rPr>
          <w:rFonts w:hint="eastAsia" w:ascii="仿宋_GB2312" w:hAnsi="仿宋_GB2312" w:eastAsia="仿宋_GB2312" w:cs="仿宋_GB2312"/>
          <w:bCs/>
          <w:sz w:val="32"/>
          <w:szCs w:val="32"/>
        </w:rPr>
        <w:t>物业管理服务：提供滇池水务第二办公区4#楼(除5层、6层、7层)主楼的全部区域(包含各房间内部)保洁工具(拖把、扫把、抹布、撮箕等)及卫生用品(洗手液、擦手纸、手纸、洁厕灵、垃圾袋等)，各区域包括公共卫生区域、步行梯、垃圾桶、大厅、停车场、厕所、各房间内部及监测公司器皿清洗，周边(含主楼周边地上车位)、地下车库的日常保洁、前台接待及日常维修、每年一次外立面玻璃清洁工作。服务时间为：08时30分至17时30分，超过工作时间的服务不计服务人员加班费。</w:t>
      </w:r>
    </w:p>
    <w:p w14:paraId="6701DCC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1.4.2</w:t>
      </w:r>
      <w:r>
        <w:rPr>
          <w:rFonts w:hint="eastAsia" w:ascii="仿宋_GB2312" w:hAnsi="仿宋_GB2312" w:eastAsia="仿宋_GB2312" w:cs="仿宋_GB2312"/>
          <w:bCs/>
          <w:sz w:val="32"/>
          <w:szCs w:val="32"/>
        </w:rPr>
        <w:t>电梯维护保养服务：派出维保专业人员对昆明滇池水务股份有限公司第二办公区4#楼4台电梯进行维保检查，其中包括对设备机件的安全及功能清洁、调整、检查记录、润滑，限速器安全钳联动试验，电梯缓冲器及齿轮用油等的定期更换，限速器校验，负责电梯保险等相关费用，并负责完成电梯年检工作，取得特种设备使用证。</w:t>
      </w:r>
    </w:p>
    <w:p w14:paraId="21F0B2D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1.4.3</w:t>
      </w:r>
      <w:r>
        <w:rPr>
          <w:rFonts w:hint="eastAsia" w:ascii="仿宋_GB2312" w:hAnsi="仿宋_GB2312" w:eastAsia="仿宋_GB2312" w:cs="仿宋_GB2312"/>
          <w:bCs/>
          <w:sz w:val="32"/>
          <w:szCs w:val="32"/>
        </w:rPr>
        <w:t>消防设施设备维护保养服务：第二办公区4#楼消防设施设备维护保养内容为：1.火灾自动报警系统1套；2.火灾楼层显示器1只；3.总线盘1套；4.多线盘1套；5.电话盘1台；6.广播盘1台；7.应急广播1套；8.应急照明及疏散指示灯1项；9.智能应急照明疏散系统1项；10.自动喷淋系统管网1项；11.消火栓系统管网1项；12.室内消火栓63个；13.喷淋泵及控制柜1项；14.湿式报警阀组4组；15.消火栓泵及控制柜1项；16.稳压系统1项；17.灭火器100具定期检查；18.防火门监控系统1项；19.防火门樘4组；20.电气火灾监控系统1项；21.电源监控系统1项。包括上述未列明，但与消防设施设备相关的全部和附属装置及配件的定期维保工作，并定期进行检查记录、相关系统功能检测</w:t>
      </w:r>
      <w:r>
        <w:rPr>
          <w:rFonts w:hint="eastAsia" w:ascii="仿宋_GB2312" w:hAnsi="仿宋_GB2312" w:eastAsia="仿宋_GB2312" w:cs="仿宋_GB2312"/>
          <w:bCs/>
          <w:sz w:val="32"/>
          <w:szCs w:val="32"/>
          <w:lang w:val="en-US" w:eastAsia="zh-CN"/>
        </w:rPr>
        <w:t>。</w:t>
      </w:r>
    </w:p>
    <w:p w14:paraId="6A60790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1.5预算金额：预算不高于</w:t>
      </w:r>
      <w:r>
        <w:rPr>
          <w:rFonts w:hint="eastAsia" w:ascii="仿宋_GB2312" w:hAnsi="仿宋_GB2312" w:eastAsia="仿宋_GB2312" w:cs="仿宋_GB2312"/>
          <w:bCs/>
          <w:sz w:val="32"/>
          <w:szCs w:val="32"/>
          <w:lang w:val="en-US" w:eastAsia="zh-CN"/>
        </w:rPr>
        <w:t>165000</w:t>
      </w:r>
      <w:r>
        <w:rPr>
          <w:rFonts w:hint="eastAsia" w:ascii="仿宋_GB2312" w:hAnsi="仿宋_GB2312" w:eastAsia="仿宋_GB2312" w:cs="仿宋_GB2312"/>
          <w:bCs/>
          <w:sz w:val="32"/>
          <w:szCs w:val="32"/>
        </w:rPr>
        <w:t>万元。</w:t>
      </w:r>
    </w:p>
    <w:p w14:paraId="63588EE7">
      <w:pPr>
        <w:keepNext w:val="0"/>
        <w:keepLines w:val="0"/>
        <w:pageBreakBefore w:val="0"/>
        <w:widowControl w:val="0"/>
        <w:tabs>
          <w:tab w:val="left" w:pos="540"/>
        </w:tabs>
        <w:kinsoku/>
        <w:wordWrap/>
        <w:overflowPunct/>
        <w:topLinePunct w:val="0"/>
        <w:autoSpaceDE/>
        <w:autoSpaceDN/>
        <w:bidi w:val="0"/>
        <w:adjustRightInd w:val="0"/>
        <w:snapToGrid w:val="0"/>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2.资格要求</w:t>
      </w:r>
    </w:p>
    <w:p w14:paraId="17A5D84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2.1营业执照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谈判申请人须为依法登记注册的企业（事业）法人或其他组织，具有有效的营业执照或其他类似的法定证明文件（提供证书复印件并加盖公章）</w:t>
      </w:r>
      <w:r>
        <w:rPr>
          <w:rFonts w:hint="eastAsia" w:ascii="仿宋_GB2312" w:hAnsi="仿宋_GB2312" w:eastAsia="仿宋_GB2312" w:cs="仿宋_GB2312"/>
          <w:bCs/>
          <w:sz w:val="32"/>
          <w:szCs w:val="32"/>
          <w:lang w:val="en-US" w:eastAsia="zh-CN"/>
        </w:rPr>
        <w:t>。</w:t>
      </w:r>
    </w:p>
    <w:p w14:paraId="6D2B3C6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2.2资质要求：</w:t>
      </w:r>
    </w:p>
    <w:p w14:paraId="3CB3C78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2.2.1</w:t>
      </w:r>
      <w:r>
        <w:rPr>
          <w:rFonts w:hint="eastAsia" w:ascii="仿宋_GB2312" w:hAnsi="仿宋_GB2312" w:eastAsia="仿宋_GB2312" w:cs="仿宋_GB2312"/>
          <w:bCs/>
          <w:sz w:val="32"/>
          <w:szCs w:val="32"/>
        </w:rPr>
        <w:t>电梯专项管理资格（满足其一即可）</w:t>
      </w:r>
    </w:p>
    <w:p w14:paraId="48DE77D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本项目电梯日常安全管理、巡检、应急救援由中标物业统一负责，电梯维修保养可自主实施或专业分包：</w:t>
      </w:r>
    </w:p>
    <w:p w14:paraId="78CC8B5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方式一（自主维保）：投标人自身持有有效期内《特种设备生产许可证》，许可类别含电梯安装（含修理）B级及以上资质，资质许可范围覆盖本项目所有电梯类型；</w:t>
      </w:r>
    </w:p>
    <w:p w14:paraId="1865815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方式二（专业分包维保）：投标时提交与具备合法电梯修理资质单位签订的维保分包协议/意向协议，分包单位须持有有效电梯修理B级及以上特种设备生产许可证，分包单位不得二次转包；中标物业对电梯安全运行、困人救援、年检协调承担全部主体管理责任。</w:t>
      </w:r>
    </w:p>
    <w:p w14:paraId="210023A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人员硬性要求：拟为本项目派驻不少于1名专职电梯安全管理员，持有有效的特种设备安全管理人员（电梯）证书，提供该人员近3个月在投标单位缴纳社保证明，承诺全程驻场负责电梯日常巡查、台账管理、故障协调。</w:t>
      </w:r>
    </w:p>
    <w:p w14:paraId="34AF631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2.2.2</w:t>
      </w:r>
      <w:r>
        <w:rPr>
          <w:rFonts w:hint="eastAsia" w:ascii="仿宋_GB2312" w:hAnsi="仿宋_GB2312" w:eastAsia="仿宋_GB2312" w:cs="仿宋_GB2312"/>
          <w:bCs/>
          <w:sz w:val="32"/>
          <w:szCs w:val="32"/>
        </w:rPr>
        <w:t>消防系统专项管理资格</w:t>
      </w:r>
    </w:p>
    <w:p w14:paraId="6A251BD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人员配置要求：拟投入本项目配备不少于2名中级及以上消防设施操作员，专职负责消防控制室24小时值班值守；所有操作员证书真实有效、可在国家职业技能平台核验，提供对应人员近3个月社保缴纳凭证。</w:t>
      </w:r>
    </w:p>
    <w:p w14:paraId="19C9522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运维管理要求：投标时提交与具备合法消防维保资质单位签订的维保分包协议/意向协议，按规范开展月度、季度、年度消防设施检测维保，建立防火巡查、消防设备档案、消防演练全套管理制度，落实每日防火巡查、定期消防应急演练工作。</w:t>
      </w:r>
    </w:p>
    <w:p w14:paraId="70BB360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2.2.3</w:t>
      </w:r>
      <w:r>
        <w:rPr>
          <w:rFonts w:hint="eastAsia" w:ascii="仿宋_GB2312" w:hAnsi="仿宋_GB2312" w:eastAsia="仿宋_GB2312" w:cs="仿宋_GB2312"/>
          <w:bCs/>
          <w:sz w:val="32"/>
          <w:szCs w:val="32"/>
        </w:rPr>
        <w:t>项目负责人资格</w:t>
      </w:r>
    </w:p>
    <w:p w14:paraId="28DF08F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拟派驻本项目物业服务项目经理须同时满足：</w:t>
      </w:r>
    </w:p>
    <w:p w14:paraId="4EF7BDB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（1）具备3年及以上同时配套电梯、自动消防系统建筑的物业服务项目管理经验；</w:t>
      </w:r>
    </w:p>
    <w:p w14:paraId="2FB59BD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（2）持有物业企业项目经理相关上岗证书；</w:t>
      </w:r>
    </w:p>
    <w:p w14:paraId="604B6D1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（3）提供项目经理近3个月在投标单位社保缴纳证明，无消防安全、特种设备管理失职处罚记录。</w:t>
      </w:r>
    </w:p>
    <w:p w14:paraId="6CEB2B6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rPr>
        <w:t>2</w:t>
      </w:r>
      <w:r>
        <w:rPr>
          <w:rFonts w:hint="eastAsia" w:ascii="仿宋_GB2312" w:hAnsi="仿宋_GB2312" w:eastAsia="仿宋_GB2312" w:cs="仿宋_GB2312"/>
          <w:bCs/>
          <w:color w:val="000000"/>
          <w:sz w:val="32"/>
          <w:szCs w:val="32"/>
          <w:lang w:val="hr-HR"/>
        </w:rPr>
        <w:t>.3</w:t>
      </w:r>
      <w:r>
        <w:rPr>
          <w:rFonts w:hint="eastAsia" w:ascii="仿宋_GB2312" w:hAnsi="仿宋_GB2312" w:eastAsia="仿宋_GB2312" w:cs="仿宋_GB2312"/>
          <w:bCs/>
          <w:sz w:val="32"/>
          <w:szCs w:val="32"/>
        </w:rPr>
        <w:t>信誉要求：2023年1月1日至报价文件递交截止时间前，未被项目所在地市场监管部门列入黑名单；报价人在经营活动中没有重大违法记录，报价人没有处于被责令停业，无因企业不良行为记录被项目所在地行政主管部门暂停或取消投标资格，没有被项目所在地政府或国家部委禁止市场准入等情形，提供书面承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供“信用中国（www.creditchina.gov.cn）”网站查询结果，若报价人“被列为严重失信主体”或“被列为失信被执行人”将否决其谈判资格</w:t>
      </w:r>
      <w:r>
        <w:rPr>
          <w:rFonts w:hint="eastAsia" w:ascii="仿宋_GB2312" w:hAnsi="仿宋_GB2312" w:eastAsia="仿宋_GB2312" w:cs="仿宋_GB2312"/>
          <w:bCs/>
          <w:sz w:val="32"/>
          <w:szCs w:val="32"/>
          <w:lang w:eastAsia="zh-CN"/>
        </w:rPr>
        <w:t>。</w:t>
      </w:r>
    </w:p>
    <w:p w14:paraId="15AD397A">
      <w:pPr>
        <w:pStyle w:val="2"/>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2.4具有履行合同所必需的设备和专业技术能力，提供书面声明（原件加盖公章）。</w:t>
      </w:r>
    </w:p>
    <w:p w14:paraId="6296BDF2">
      <w:pPr>
        <w:keepNext w:val="0"/>
        <w:keepLines w:val="0"/>
        <w:pageBreakBefore w:val="0"/>
        <w:widowControl w:val="0"/>
        <w:tabs>
          <w:tab w:val="left" w:pos="540"/>
        </w:tabs>
        <w:kinsoku/>
        <w:wordWrap/>
        <w:overflowPunct/>
        <w:topLinePunct w:val="0"/>
        <w:autoSpaceDE/>
        <w:autoSpaceDN/>
        <w:bidi w:val="0"/>
        <w:adjustRightInd w:val="0"/>
        <w:snapToGrid w:val="0"/>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3.质量要求</w:t>
      </w:r>
    </w:p>
    <w:p w14:paraId="79530DEF">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符合国家、行业相关服务标准及招标人要求。</w:t>
      </w:r>
    </w:p>
    <w:p w14:paraId="2DBFB38C">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ascii="黑体" w:hAnsi="黑体" w:eastAsia="黑体" w:cs="黑体"/>
          <w:bCs/>
          <w:sz w:val="32"/>
          <w:szCs w:val="32"/>
        </w:rPr>
      </w:pPr>
      <w:r>
        <w:rPr>
          <w:rFonts w:hint="eastAsia" w:ascii="黑体" w:hAnsi="黑体" w:eastAsia="黑体" w:cs="黑体"/>
          <w:bCs/>
          <w:sz w:val="32"/>
          <w:szCs w:val="32"/>
          <w:lang w:val="en-US" w:eastAsia="zh-CN"/>
        </w:rPr>
        <w:t>4</w:t>
      </w:r>
      <w:r>
        <w:rPr>
          <w:rFonts w:hint="eastAsia" w:ascii="黑体" w:hAnsi="黑体" w:eastAsia="黑体" w:cs="黑体"/>
          <w:bCs/>
          <w:sz w:val="32"/>
          <w:szCs w:val="32"/>
        </w:rPr>
        <w:t>.报价要求</w:t>
      </w:r>
    </w:p>
    <w:p w14:paraId="009888B2">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4.1</w:t>
      </w:r>
      <w:r>
        <w:rPr>
          <w:rFonts w:hint="eastAsia" w:ascii="仿宋_GB2312" w:hAnsi="仿宋_GB2312" w:eastAsia="仿宋_GB2312" w:cs="仿宋_GB2312"/>
          <w:bCs/>
          <w:color w:val="000000"/>
          <w:sz w:val="32"/>
          <w:szCs w:val="32"/>
        </w:rPr>
        <w:t>本项目采用固定单价的方式进行报价，报价为含税价，结算时仅计取4#楼1-4层室内面积7855㎡；</w:t>
      </w:r>
    </w:p>
    <w:p w14:paraId="3B1104A8">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4.2</w:t>
      </w:r>
      <w:r>
        <w:rPr>
          <w:rFonts w:hint="eastAsia" w:ascii="仿宋_GB2312" w:hAnsi="仿宋_GB2312" w:eastAsia="仿宋_GB2312" w:cs="仿宋_GB2312"/>
          <w:bCs/>
          <w:color w:val="000000"/>
          <w:sz w:val="32"/>
          <w:szCs w:val="32"/>
        </w:rPr>
        <w:t>谈判申请人结合自身的技术水平及实力和目前社会平均水平进行科学合理的报价；本项目谈判报价必须包含本项目实施所涉及的所有费用（包含但不限于政策性文件规定及合同包含的所有风险、责任，以及完成物业管理服务、电梯维护保养服务、消防设施设备维护保养服务的人工费、管理费、措施费、利润、规费、税金及风险费等为完成本项目所需的全部费用）。请各谈判申请人在谈判报价时自行考虑项目过程中各项价款的市场价格变化，并承担由此产生的风险，采购人不支付因市场价格增涨而产生的费用，结算时单价不予调整。</w:t>
      </w:r>
    </w:p>
    <w:p w14:paraId="3612BC4A">
      <w:pPr>
        <w:pStyle w:val="2"/>
        <w:keepNext w:val="0"/>
        <w:keepLines w:val="0"/>
        <w:pageBreakBefore w:val="0"/>
        <w:widowControl w:val="0"/>
        <w:kinsoku/>
        <w:wordWrap/>
        <w:overflowPunct/>
        <w:topLinePunct w:val="0"/>
        <w:autoSpaceDE/>
        <w:autoSpaceDN/>
        <w:bidi w:val="0"/>
        <w:spacing w:after="0" w:line="520" w:lineRule="exact"/>
        <w:ind w:firstLine="640" w:firstLineChars="200"/>
        <w:textAlignment w:val="auto"/>
        <w:rPr>
          <w:rFonts w:ascii="仿宋_GB2312" w:hAnsi="仿宋_GB2312" w:eastAsia="仿宋_GB2312" w:cs="仿宋_GB2312"/>
          <w:bCs/>
          <w:color w:val="000000"/>
          <w:sz w:val="32"/>
          <w:szCs w:val="32"/>
        </w:rPr>
      </w:pPr>
      <w:r>
        <w:rPr>
          <w:rFonts w:hint="eastAsia" w:ascii="黑体" w:hAnsi="黑体" w:eastAsia="黑体" w:cs="黑体"/>
          <w:bCs/>
          <w:sz w:val="32"/>
          <w:szCs w:val="32"/>
          <w:lang w:val="en-US" w:eastAsia="zh-CN"/>
        </w:rPr>
        <w:t>5</w:t>
      </w:r>
      <w:r>
        <w:rPr>
          <w:rFonts w:hint="eastAsia" w:ascii="黑体" w:hAnsi="黑体" w:eastAsia="黑体" w:cs="黑体"/>
          <w:bCs/>
          <w:sz w:val="32"/>
          <w:szCs w:val="32"/>
        </w:rPr>
        <w:t>.报价文件费份数及密封要求</w:t>
      </w:r>
    </w:p>
    <w:p w14:paraId="774B5B68">
      <w:pPr>
        <w:pStyle w:val="2"/>
        <w:keepNext w:val="0"/>
        <w:keepLines w:val="0"/>
        <w:pageBreakBefore w:val="0"/>
        <w:widowControl w:val="0"/>
        <w:kinsoku/>
        <w:wordWrap/>
        <w:overflowPunct/>
        <w:topLinePunct w:val="0"/>
        <w:autoSpaceDE/>
        <w:autoSpaceDN/>
        <w:bidi w:val="0"/>
        <w:spacing w:after="0" w:line="52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纸质报价文件一式两份，且按要求在需要盖章的地方加盖鲜章。另外需要提供一份电子扫描的询价申请文件，且需保证电子文件和纸质文件一致。报价文件应密封。</w:t>
      </w:r>
    </w:p>
    <w:p w14:paraId="4EE06C42">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6</w:t>
      </w:r>
      <w:r>
        <w:rPr>
          <w:rFonts w:hint="eastAsia" w:ascii="黑体" w:hAnsi="黑体" w:eastAsia="黑体" w:cs="黑体"/>
          <w:bCs/>
          <w:color w:val="000000"/>
          <w:sz w:val="32"/>
          <w:szCs w:val="32"/>
        </w:rPr>
        <w:t>.报价文件的组成</w:t>
      </w:r>
    </w:p>
    <w:p w14:paraId="7FBCB978">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报价文件由报价表、企业工商营业执照、</w:t>
      </w:r>
      <w:r>
        <w:rPr>
          <w:rFonts w:hint="eastAsia" w:ascii="仿宋_GB2312" w:hAnsi="仿宋_GB2312" w:eastAsia="仿宋_GB2312" w:cs="仿宋_GB2312"/>
          <w:bCs/>
          <w:color w:val="000000"/>
          <w:sz w:val="32"/>
          <w:szCs w:val="32"/>
          <w:lang w:val="en-US" w:eastAsia="zh-CN"/>
        </w:rPr>
        <w:t>类似业绩</w:t>
      </w:r>
      <w:r>
        <w:rPr>
          <w:rFonts w:hint="eastAsia" w:ascii="仿宋_GB2312" w:hAnsi="仿宋_GB2312" w:eastAsia="仿宋_GB2312" w:cs="仿宋_GB2312"/>
          <w:bCs/>
          <w:color w:val="000000"/>
          <w:sz w:val="32"/>
          <w:szCs w:val="32"/>
        </w:rPr>
        <w:t>、相应承诺的有效复印件以及各询价响应人认为应该提供的</w:t>
      </w:r>
      <w:r>
        <w:rPr>
          <w:rFonts w:hint="eastAsia" w:ascii="仿宋_GB2312" w:hAnsi="仿宋_GB2312" w:eastAsia="仿宋_GB2312" w:cs="仿宋_GB2312"/>
          <w:bCs/>
          <w:color w:val="000000"/>
          <w:sz w:val="32"/>
          <w:szCs w:val="32"/>
          <w:lang w:eastAsia="zh-CN"/>
        </w:rPr>
        <w:t>其他</w:t>
      </w:r>
      <w:r>
        <w:rPr>
          <w:rFonts w:hint="eastAsia" w:ascii="仿宋_GB2312" w:hAnsi="仿宋_GB2312" w:eastAsia="仿宋_GB2312" w:cs="仿宋_GB2312"/>
          <w:bCs/>
          <w:color w:val="000000"/>
          <w:sz w:val="32"/>
          <w:szCs w:val="32"/>
        </w:rPr>
        <w:t>相关文件（可参考附件）。</w:t>
      </w:r>
    </w:p>
    <w:p w14:paraId="267ABEDA">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7</w:t>
      </w:r>
      <w:r>
        <w:rPr>
          <w:rFonts w:hint="eastAsia" w:ascii="黑体" w:hAnsi="黑体" w:eastAsia="黑体" w:cs="黑体"/>
          <w:bCs/>
          <w:color w:val="000000"/>
          <w:sz w:val="32"/>
          <w:szCs w:val="32"/>
        </w:rPr>
        <w:t>.询价比选申请文件获取</w:t>
      </w:r>
    </w:p>
    <w:p w14:paraId="3FC0E21D">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凡有意参加的报价人，请于2026年7月10日至2026年7月15日（法定公休日，法定节假日除外），每日09时30分至12时00分，13时30分至17时30分（北京时间，下同），持营业执照（复印件加盖公章）、法定代表人或负责人身份证明书（原件）、授权委托书（原件）及授权委托人身份证（原件）到运营公司领取询价文件。</w:t>
      </w:r>
    </w:p>
    <w:p w14:paraId="5EB6A549">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8</w:t>
      </w:r>
      <w:r>
        <w:rPr>
          <w:rFonts w:hint="eastAsia" w:ascii="黑体" w:hAnsi="黑体" w:eastAsia="黑体" w:cs="黑体"/>
          <w:bCs/>
          <w:color w:val="000000"/>
          <w:sz w:val="32"/>
          <w:szCs w:val="32"/>
        </w:rPr>
        <w:t>.</w:t>
      </w:r>
      <w:r>
        <w:rPr>
          <w:rFonts w:hint="eastAsia" w:ascii="黑体" w:hAnsi="黑体" w:eastAsia="黑体" w:cs="黑体"/>
          <w:bCs/>
          <w:sz w:val="32"/>
          <w:szCs w:val="32"/>
        </w:rPr>
        <w:t>评标办法</w:t>
      </w:r>
    </w:p>
    <w:p w14:paraId="1D745C2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评标委员会首先对竞标人的资质条件和竞标文件的有效性进行符合性评审，符合招标文件要求的给予符合性通过，不符合招标文件要求的竞标文件定为废标</w:t>
      </w:r>
      <w:r>
        <w:rPr>
          <w:rFonts w:hint="eastAsia" w:ascii="仿宋_GB2312" w:hAnsi="仿宋_GB2312" w:eastAsia="仿宋_GB2312" w:cs="仿宋_GB2312"/>
          <w:bCs/>
          <w:sz w:val="32"/>
          <w:szCs w:val="32"/>
        </w:rPr>
        <w:t>。</w:t>
      </w:r>
    </w:p>
    <w:p w14:paraId="195719F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评标办法为综合评分制评分法(满分为100分)</w:t>
      </w:r>
      <w:r>
        <w:rPr>
          <w:rFonts w:hint="eastAsia" w:ascii="仿宋_GB2312" w:hAnsi="仿宋_GB2312" w:eastAsia="仿宋_GB2312" w:cs="仿宋_GB2312"/>
          <w:bCs/>
          <w:sz w:val="32"/>
          <w:szCs w:val="32"/>
        </w:rPr>
        <w:t>。</w:t>
      </w:r>
    </w:p>
    <w:p w14:paraId="0BCAD3E9">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8.2.1</w:t>
      </w:r>
      <w:r>
        <w:rPr>
          <w:rFonts w:hint="eastAsia" w:ascii="仿宋_GB2312" w:hAnsi="仿宋_GB2312" w:eastAsia="仿宋_GB2312" w:cs="仿宋_GB2312"/>
          <w:bCs/>
          <w:color w:val="000000"/>
          <w:sz w:val="32"/>
          <w:szCs w:val="32"/>
        </w:rPr>
        <w:t>商务部分（</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0分）</w:t>
      </w:r>
    </w:p>
    <w:p w14:paraId="29D36C67">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有效谈判申请人的谈判总报价参与评审。当有效谈判申请人的谈判总报价等于评标基准价时得满分，有效谈判报价与评标基准价相比，每向上浮动1%扣0.3分，每向下浮动1%扣0.2分，分数扣完为止。</w:t>
      </w:r>
    </w:p>
    <w:p w14:paraId="6B583308">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评标基准价的计算方式如下：</w:t>
      </w:r>
    </w:p>
    <w:p w14:paraId="33D09D05">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（1）当有效谈判报价≤5个时，取所有有效谈判报价的平均值为评标基准价；</w:t>
      </w:r>
    </w:p>
    <w:p w14:paraId="6BA46F99">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（2）当有效谈判报价＞5个时，去掉最高和最低的有效谈判报价的平均值为评标基准价。</w:t>
      </w:r>
    </w:p>
    <w:p w14:paraId="641DC9D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说明：有效谈判报价及其个数是指通过谈判小组初步评审的有效谈判申请人的谈判报价及其个数。</w:t>
      </w:r>
    </w:p>
    <w:p w14:paraId="0195DB39">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8.2.2</w:t>
      </w:r>
      <w:r>
        <w:rPr>
          <w:rFonts w:hint="eastAsia" w:ascii="仿宋_GB2312" w:hAnsi="仿宋_GB2312" w:eastAsia="仿宋_GB2312" w:cs="仿宋_GB2312"/>
          <w:bCs/>
          <w:color w:val="000000"/>
          <w:sz w:val="32"/>
          <w:szCs w:val="32"/>
        </w:rPr>
        <w:t>技术部分按下表进行打分（</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0分）</w:t>
      </w:r>
    </w:p>
    <w:p w14:paraId="76D47AE2">
      <w:pPr>
        <w:pStyle w:val="2"/>
        <w:rPr>
          <w:rFonts w:hint="eastAsia" w:ascii="仿宋_GB2312" w:hAnsi="仿宋_GB2312" w:eastAsia="仿宋_GB2312" w:cs="仿宋_GB2312"/>
          <w:bCs/>
          <w:color w:val="000000"/>
          <w:sz w:val="32"/>
          <w:szCs w:val="32"/>
        </w:rPr>
      </w:pPr>
    </w:p>
    <w:p w14:paraId="31C497D3">
      <w:pPr>
        <w:pStyle w:val="2"/>
        <w:rPr>
          <w:rFonts w:hint="eastAsia" w:ascii="仿宋_GB2312" w:hAnsi="仿宋_GB2312" w:eastAsia="仿宋_GB2312" w:cs="仿宋_GB2312"/>
          <w:bCs/>
          <w:color w:val="000000"/>
          <w:sz w:val="32"/>
          <w:szCs w:val="32"/>
        </w:rPr>
      </w:pPr>
    </w:p>
    <w:p w14:paraId="4B538829">
      <w:pPr>
        <w:pStyle w:val="2"/>
        <w:rPr>
          <w:rFonts w:hint="eastAsia" w:ascii="仿宋_GB2312" w:hAnsi="仿宋_GB2312" w:eastAsia="仿宋_GB2312" w:cs="仿宋_GB2312"/>
          <w:bCs/>
          <w:color w:val="000000"/>
          <w:sz w:val="32"/>
          <w:szCs w:val="32"/>
        </w:rPr>
      </w:pPr>
      <w:bookmarkStart w:id="4" w:name="_GoBack"/>
      <w:bookmarkEnd w:id="4"/>
    </w:p>
    <w:tbl>
      <w:tblPr>
        <w:tblStyle w:val="13"/>
        <w:tblW w:w="4973" w:type="pct"/>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432"/>
        <w:gridCol w:w="5895"/>
        <w:gridCol w:w="843"/>
      </w:tblGrid>
      <w:tr w14:paraId="1AAA2B9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578" w:type="pct"/>
            <w:tcBorders>
              <w:top w:val="single" w:color="auto" w:sz="4" w:space="0"/>
              <w:left w:val="single" w:color="auto" w:sz="4" w:space="0"/>
              <w:bottom w:val="single" w:color="auto" w:sz="4" w:space="0"/>
              <w:right w:val="single" w:color="auto" w:sz="4" w:space="0"/>
            </w:tcBorders>
            <w:vAlign w:val="center"/>
          </w:tcPr>
          <w:p w14:paraId="3E972D47">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序号</w:t>
            </w:r>
          </w:p>
        </w:tc>
        <w:tc>
          <w:tcPr>
            <w:tcW w:w="775" w:type="pct"/>
            <w:tcBorders>
              <w:top w:val="single" w:color="auto" w:sz="4" w:space="0"/>
              <w:left w:val="single" w:color="auto" w:sz="4" w:space="0"/>
              <w:bottom w:val="single" w:color="auto" w:sz="4" w:space="0"/>
              <w:right w:val="single" w:color="auto" w:sz="4" w:space="0"/>
            </w:tcBorders>
            <w:vAlign w:val="center"/>
          </w:tcPr>
          <w:p w14:paraId="6D68F872">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项目</w:t>
            </w:r>
          </w:p>
        </w:tc>
        <w:tc>
          <w:tcPr>
            <w:tcW w:w="3190" w:type="pct"/>
            <w:tcBorders>
              <w:top w:val="single" w:color="auto" w:sz="4" w:space="0"/>
              <w:left w:val="single" w:color="auto" w:sz="4" w:space="0"/>
              <w:bottom w:val="single" w:color="auto" w:sz="4" w:space="0"/>
              <w:right w:val="single" w:color="auto" w:sz="4" w:space="0"/>
            </w:tcBorders>
            <w:vAlign w:val="center"/>
          </w:tcPr>
          <w:p w14:paraId="0FF8D599">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评分细则</w:t>
            </w:r>
          </w:p>
        </w:tc>
        <w:tc>
          <w:tcPr>
            <w:tcW w:w="456" w:type="pct"/>
            <w:tcBorders>
              <w:top w:val="single" w:color="auto" w:sz="4" w:space="0"/>
              <w:left w:val="single" w:color="auto" w:sz="4" w:space="0"/>
              <w:bottom w:val="single" w:color="auto" w:sz="4" w:space="0"/>
              <w:right w:val="single" w:color="auto" w:sz="4" w:space="0"/>
            </w:tcBorders>
            <w:vAlign w:val="center"/>
          </w:tcPr>
          <w:p w14:paraId="3C801C89">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分值</w:t>
            </w:r>
          </w:p>
        </w:tc>
      </w:tr>
      <w:tr w14:paraId="1BEA2B2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2985" w:hRule="atLeast"/>
        </w:trPr>
        <w:tc>
          <w:tcPr>
            <w:tcW w:w="578" w:type="pct"/>
            <w:tcBorders>
              <w:top w:val="single" w:color="auto" w:sz="4" w:space="0"/>
              <w:left w:val="single" w:color="auto" w:sz="4" w:space="0"/>
              <w:bottom w:val="single" w:color="auto" w:sz="4" w:space="0"/>
              <w:right w:val="single" w:color="auto" w:sz="4" w:space="0"/>
            </w:tcBorders>
            <w:vAlign w:val="center"/>
          </w:tcPr>
          <w:p w14:paraId="1903D19B">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bookmarkStart w:id="0" w:name="_Hlk32792096"/>
            <w:bookmarkStart w:id="1" w:name="_Hlk37242205"/>
            <w:bookmarkStart w:id="2" w:name="_Hlk54702019"/>
            <w:r>
              <w:rPr>
                <w:rFonts w:hint="eastAsia" w:ascii="仿宋_GB2312" w:hAnsi="仿宋_GB2312" w:eastAsia="仿宋_GB2312" w:cs="仿宋_GB2312"/>
                <w:b w:val="0"/>
                <w:bCs/>
                <w:color w:val="000000"/>
                <w:sz w:val="24"/>
                <w:szCs w:val="24"/>
              </w:rPr>
              <w:t>1</w:t>
            </w:r>
          </w:p>
        </w:tc>
        <w:tc>
          <w:tcPr>
            <w:tcW w:w="775" w:type="pct"/>
            <w:tcBorders>
              <w:top w:val="single" w:color="auto" w:sz="4" w:space="0"/>
              <w:left w:val="single" w:color="auto" w:sz="4" w:space="0"/>
              <w:bottom w:val="single" w:color="auto" w:sz="4" w:space="0"/>
              <w:right w:val="single" w:color="auto" w:sz="4" w:space="0"/>
            </w:tcBorders>
            <w:vAlign w:val="center"/>
          </w:tcPr>
          <w:p w14:paraId="01E49811">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sz w:val="24"/>
                <w:szCs w:val="24"/>
              </w:rPr>
              <w:t>服务方案评审评分</w:t>
            </w:r>
          </w:p>
        </w:tc>
        <w:tc>
          <w:tcPr>
            <w:tcW w:w="3190" w:type="pct"/>
            <w:tcBorders>
              <w:top w:val="single" w:color="auto" w:sz="4" w:space="0"/>
              <w:left w:val="single" w:color="auto" w:sz="4" w:space="0"/>
              <w:bottom w:val="single" w:color="auto" w:sz="4" w:space="0"/>
              <w:right w:val="single" w:color="auto" w:sz="4" w:space="0"/>
            </w:tcBorders>
            <w:vAlign w:val="top"/>
          </w:tcPr>
          <w:p w14:paraId="1743B356">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第一档次：项目实施方案全面、合理性高，能体现针对性的重点和特点，并结合自身理解、经验，提出切实可行的实施方案，得14-20分；</w:t>
            </w:r>
          </w:p>
          <w:p w14:paraId="134AF273">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第二档次：项目实施方案合理性一般，基本体现重点及特点，实施方案基本可行的，得7-13分；</w:t>
            </w:r>
          </w:p>
          <w:p w14:paraId="344AD806">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第三档次：项目实施方案合理性差，无服务的重点和特点，得1-6分。</w:t>
            </w:r>
          </w:p>
          <w:p w14:paraId="77E2641A">
            <w:pPr>
              <w:pStyle w:val="2"/>
              <w:keepNext w:val="0"/>
              <w:keepLines w:val="0"/>
              <w:pageBreakBefore w:val="0"/>
              <w:kinsoku/>
              <w:wordWrap/>
              <w:overflowPunct/>
              <w:topLinePunct w:val="0"/>
              <w:autoSpaceDE/>
              <w:autoSpaceDN/>
              <w:bidi w:val="0"/>
              <w:adjustRightInd/>
              <w:snapToGrid/>
              <w:spacing w:after="0"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sz w:val="24"/>
                <w:szCs w:val="24"/>
                <w:lang w:val="en-US" w:eastAsia="zh-CN"/>
              </w:rPr>
              <w:t>未作说明的不得分。</w:t>
            </w:r>
          </w:p>
        </w:tc>
        <w:tc>
          <w:tcPr>
            <w:tcW w:w="456" w:type="pct"/>
            <w:tcBorders>
              <w:top w:val="single" w:color="auto" w:sz="4" w:space="0"/>
              <w:left w:val="single" w:color="auto" w:sz="4" w:space="0"/>
              <w:bottom w:val="single" w:color="auto" w:sz="4" w:space="0"/>
              <w:right w:val="single" w:color="auto" w:sz="4" w:space="0"/>
            </w:tcBorders>
            <w:vAlign w:val="center"/>
          </w:tcPr>
          <w:p w14:paraId="7AE5AB9E">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20分</w:t>
            </w:r>
          </w:p>
        </w:tc>
      </w:tr>
      <w:bookmarkEnd w:id="0"/>
      <w:bookmarkEnd w:id="1"/>
      <w:tr w14:paraId="2850BE34">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727" w:hRule="atLeast"/>
        </w:trPr>
        <w:tc>
          <w:tcPr>
            <w:tcW w:w="578" w:type="pct"/>
            <w:tcBorders>
              <w:top w:val="single" w:color="auto" w:sz="4" w:space="0"/>
              <w:left w:val="single" w:color="auto" w:sz="4" w:space="0"/>
              <w:bottom w:val="single" w:color="auto" w:sz="4" w:space="0"/>
              <w:right w:val="single" w:color="auto" w:sz="4" w:space="0"/>
            </w:tcBorders>
            <w:vAlign w:val="center"/>
          </w:tcPr>
          <w:p w14:paraId="5328946A">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2</w:t>
            </w:r>
          </w:p>
        </w:tc>
        <w:tc>
          <w:tcPr>
            <w:tcW w:w="775" w:type="pct"/>
            <w:tcBorders>
              <w:top w:val="single" w:color="auto" w:sz="4" w:space="0"/>
              <w:left w:val="single" w:color="auto" w:sz="4" w:space="0"/>
              <w:bottom w:val="single" w:color="auto" w:sz="4" w:space="0"/>
              <w:right w:val="single" w:color="auto" w:sz="4" w:space="0"/>
            </w:tcBorders>
            <w:vAlign w:val="center"/>
          </w:tcPr>
          <w:p w14:paraId="5C57D245">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sz w:val="24"/>
                <w:szCs w:val="24"/>
              </w:rPr>
              <w:t>工作时间安排计划及保证措施评审评分</w:t>
            </w:r>
          </w:p>
        </w:tc>
        <w:tc>
          <w:tcPr>
            <w:tcW w:w="3190" w:type="pct"/>
            <w:tcBorders>
              <w:top w:val="single" w:color="auto" w:sz="4" w:space="0"/>
              <w:left w:val="single" w:color="auto" w:sz="4" w:space="0"/>
              <w:bottom w:val="single" w:color="auto" w:sz="4" w:space="0"/>
              <w:right w:val="single" w:color="auto" w:sz="4" w:space="0"/>
            </w:tcBorders>
            <w:vAlign w:val="top"/>
          </w:tcPr>
          <w:p w14:paraId="4DB70CD7">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sz w:val="24"/>
                <w:szCs w:val="24"/>
              </w:rPr>
              <w:t>第一档次：</w:t>
            </w:r>
            <w:r>
              <w:rPr>
                <w:rFonts w:hint="eastAsia" w:ascii="仿宋_GB2312" w:hAnsi="仿宋_GB2312" w:eastAsia="仿宋_GB2312" w:cs="仿宋_GB2312"/>
                <w:b w:val="0"/>
                <w:bCs/>
                <w:sz w:val="24"/>
                <w:szCs w:val="24"/>
              </w:rPr>
              <w:t>工作时间安排计划内容清晰完整、可行性强、针对性强，保证措施合理可行，有具体可行的违约责任承诺的，得8-10分</w:t>
            </w:r>
            <w:r>
              <w:rPr>
                <w:rFonts w:hint="eastAsia" w:ascii="仿宋_GB2312" w:hAnsi="仿宋_GB2312" w:eastAsia="仿宋_GB2312" w:cs="仿宋_GB2312"/>
                <w:b w:val="0"/>
                <w:bCs/>
                <w:sz w:val="24"/>
                <w:szCs w:val="24"/>
                <w:lang w:eastAsia="zh-CN"/>
              </w:rPr>
              <w:t>；</w:t>
            </w:r>
          </w:p>
          <w:p w14:paraId="1876EFF6">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sz w:val="24"/>
                <w:szCs w:val="24"/>
              </w:rPr>
              <w:t>第二档次：</w:t>
            </w:r>
            <w:r>
              <w:rPr>
                <w:rFonts w:hint="eastAsia" w:ascii="仿宋_GB2312" w:hAnsi="仿宋_GB2312" w:eastAsia="仿宋_GB2312" w:cs="仿宋_GB2312"/>
                <w:b w:val="0"/>
                <w:bCs/>
                <w:sz w:val="24"/>
                <w:szCs w:val="24"/>
              </w:rPr>
              <w:t>工作时间安排计划内容基本完整、可行性一般、针对性一般，保证措施可行，有可行的违约责任承诺但不具体的，得4-7分</w:t>
            </w:r>
            <w:r>
              <w:rPr>
                <w:rFonts w:hint="eastAsia" w:ascii="仿宋_GB2312" w:hAnsi="仿宋_GB2312" w:eastAsia="仿宋_GB2312" w:cs="仿宋_GB2312"/>
                <w:b w:val="0"/>
                <w:bCs/>
                <w:sz w:val="24"/>
                <w:szCs w:val="24"/>
                <w:lang w:eastAsia="zh-CN"/>
              </w:rPr>
              <w:t>；</w:t>
            </w:r>
          </w:p>
          <w:p w14:paraId="7F85316B">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color w:val="000000"/>
                <w:sz w:val="24"/>
                <w:szCs w:val="24"/>
              </w:rPr>
              <w:t>第三档次：</w:t>
            </w:r>
            <w:r>
              <w:rPr>
                <w:rFonts w:hint="eastAsia" w:ascii="仿宋_GB2312" w:hAnsi="仿宋_GB2312" w:eastAsia="仿宋_GB2312" w:cs="仿宋_GB2312"/>
                <w:b w:val="0"/>
                <w:bCs/>
                <w:sz w:val="24"/>
                <w:szCs w:val="24"/>
              </w:rPr>
              <w:t>工作时间安排计划内容有缺漏、可行性差、针对性差，保证措施有缺漏，有违约承诺但不可行的，得1-3分</w:t>
            </w:r>
            <w:r>
              <w:rPr>
                <w:rFonts w:hint="eastAsia" w:ascii="仿宋_GB2312" w:hAnsi="仿宋_GB2312" w:eastAsia="仿宋_GB2312" w:cs="仿宋_GB2312"/>
                <w:b w:val="0"/>
                <w:bCs/>
                <w:sz w:val="24"/>
                <w:szCs w:val="24"/>
                <w:lang w:eastAsia="zh-CN"/>
              </w:rPr>
              <w:t>；</w:t>
            </w:r>
          </w:p>
          <w:p w14:paraId="35447C98">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FF0000"/>
                <w:sz w:val="24"/>
                <w:szCs w:val="24"/>
              </w:rPr>
            </w:pPr>
            <w:r>
              <w:rPr>
                <w:rFonts w:hint="eastAsia" w:ascii="仿宋_GB2312" w:hAnsi="仿宋_GB2312" w:eastAsia="仿宋_GB2312" w:cs="仿宋_GB2312"/>
                <w:b w:val="0"/>
                <w:bCs/>
                <w:sz w:val="24"/>
                <w:szCs w:val="24"/>
              </w:rPr>
              <w:t>未作说明的不得分。</w:t>
            </w:r>
          </w:p>
        </w:tc>
        <w:tc>
          <w:tcPr>
            <w:tcW w:w="456" w:type="pct"/>
            <w:tcBorders>
              <w:top w:val="single" w:color="auto" w:sz="4" w:space="0"/>
              <w:left w:val="single" w:color="auto" w:sz="4" w:space="0"/>
              <w:bottom w:val="single" w:color="auto" w:sz="4" w:space="0"/>
              <w:right w:val="single" w:color="auto" w:sz="4" w:space="0"/>
            </w:tcBorders>
            <w:vAlign w:val="center"/>
          </w:tcPr>
          <w:p w14:paraId="669CC763">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10分</w:t>
            </w:r>
          </w:p>
        </w:tc>
      </w:tr>
      <w:tr w14:paraId="57DE16C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727" w:hRule="atLeast"/>
        </w:trPr>
        <w:tc>
          <w:tcPr>
            <w:tcW w:w="578" w:type="pct"/>
            <w:tcBorders>
              <w:top w:val="single" w:color="auto" w:sz="4" w:space="0"/>
              <w:left w:val="single" w:color="auto" w:sz="4" w:space="0"/>
              <w:bottom w:val="single" w:color="auto" w:sz="4" w:space="0"/>
              <w:right w:val="single" w:color="auto" w:sz="4" w:space="0"/>
            </w:tcBorders>
            <w:vAlign w:val="center"/>
          </w:tcPr>
          <w:p w14:paraId="3F9201B5">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3</w:t>
            </w:r>
          </w:p>
        </w:tc>
        <w:tc>
          <w:tcPr>
            <w:tcW w:w="775" w:type="pct"/>
            <w:tcBorders>
              <w:top w:val="single" w:color="auto" w:sz="4" w:space="0"/>
              <w:left w:val="single" w:color="auto" w:sz="4" w:space="0"/>
              <w:bottom w:val="single" w:color="auto" w:sz="4" w:space="0"/>
              <w:right w:val="single" w:color="auto" w:sz="4" w:space="0"/>
            </w:tcBorders>
            <w:vAlign w:val="center"/>
          </w:tcPr>
          <w:p w14:paraId="55B40A45">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sz w:val="24"/>
                <w:szCs w:val="24"/>
              </w:rPr>
              <w:t>质量承诺及违约责任承诺评审</w:t>
            </w:r>
          </w:p>
        </w:tc>
        <w:tc>
          <w:tcPr>
            <w:tcW w:w="3190" w:type="pct"/>
            <w:tcBorders>
              <w:top w:val="single" w:color="auto" w:sz="4" w:space="0"/>
              <w:left w:val="single" w:color="auto" w:sz="4" w:space="0"/>
              <w:bottom w:val="single" w:color="auto" w:sz="4" w:space="0"/>
              <w:right w:val="single" w:color="auto" w:sz="4" w:space="0"/>
            </w:tcBorders>
            <w:vAlign w:val="top"/>
          </w:tcPr>
          <w:p w14:paraId="54A5C596">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第一档次：</w:t>
            </w:r>
            <w:r>
              <w:rPr>
                <w:rFonts w:hint="eastAsia" w:ascii="仿宋_GB2312" w:hAnsi="仿宋_GB2312" w:eastAsia="仿宋_GB2312" w:cs="仿宋_GB2312"/>
                <w:b w:val="0"/>
                <w:bCs/>
                <w:sz w:val="24"/>
                <w:szCs w:val="24"/>
              </w:rPr>
              <w:t>服务质量保证措施完善、可行，有针对性，有详细、可行的违约承诺和违约责任处罚措施，明确了具体的违约责任处罚金额的，得8-10分</w:t>
            </w:r>
            <w:r>
              <w:rPr>
                <w:rFonts w:hint="eastAsia" w:ascii="仿宋_GB2312" w:hAnsi="仿宋_GB2312" w:eastAsia="仿宋_GB2312" w:cs="仿宋_GB2312"/>
                <w:b w:val="0"/>
                <w:bCs/>
                <w:color w:val="000000"/>
                <w:sz w:val="24"/>
                <w:szCs w:val="24"/>
              </w:rPr>
              <w:t>；</w:t>
            </w:r>
          </w:p>
          <w:p w14:paraId="361575C1">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第二档次：</w:t>
            </w:r>
            <w:r>
              <w:rPr>
                <w:rFonts w:hint="eastAsia" w:ascii="仿宋_GB2312" w:hAnsi="仿宋_GB2312" w:eastAsia="仿宋_GB2312" w:cs="仿宋_GB2312"/>
                <w:b w:val="0"/>
                <w:bCs/>
                <w:sz w:val="24"/>
                <w:szCs w:val="24"/>
              </w:rPr>
              <w:t>服务质量保证措施基本完善、基本可行，针对性一般，有违约承诺和违约责任处罚措施但不具体的，明确了具体的违约责任处罚金额的，得4-7分</w:t>
            </w:r>
            <w:r>
              <w:rPr>
                <w:rFonts w:hint="eastAsia" w:ascii="仿宋_GB2312" w:hAnsi="仿宋_GB2312" w:eastAsia="仿宋_GB2312" w:cs="仿宋_GB2312"/>
                <w:b w:val="0"/>
                <w:bCs/>
                <w:color w:val="000000"/>
                <w:sz w:val="24"/>
                <w:szCs w:val="24"/>
              </w:rPr>
              <w:t>；</w:t>
            </w:r>
          </w:p>
          <w:p w14:paraId="31B1D581">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第三档次：</w:t>
            </w:r>
            <w:r>
              <w:rPr>
                <w:rFonts w:hint="eastAsia" w:ascii="仿宋_GB2312" w:hAnsi="仿宋_GB2312" w:eastAsia="仿宋_GB2312" w:cs="仿宋_GB2312"/>
                <w:b w:val="0"/>
                <w:bCs/>
                <w:sz w:val="24"/>
                <w:szCs w:val="24"/>
              </w:rPr>
              <w:t>服务质量保证措施有明显错误，无违约承诺及处罚措施或有违约承诺及处罚措施但不可行的，得1-3分</w:t>
            </w:r>
            <w:r>
              <w:rPr>
                <w:rFonts w:hint="eastAsia" w:ascii="仿宋_GB2312" w:hAnsi="仿宋_GB2312" w:eastAsia="仿宋_GB2312" w:cs="仿宋_GB2312"/>
                <w:b w:val="0"/>
                <w:bCs/>
                <w:color w:val="000000"/>
                <w:sz w:val="24"/>
                <w:szCs w:val="24"/>
              </w:rPr>
              <w:t>；</w:t>
            </w:r>
          </w:p>
          <w:p w14:paraId="0B667360">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无质量承诺及保证措施的不得分。</w:t>
            </w:r>
          </w:p>
        </w:tc>
        <w:tc>
          <w:tcPr>
            <w:tcW w:w="456" w:type="pct"/>
            <w:tcBorders>
              <w:top w:val="single" w:color="auto" w:sz="4" w:space="0"/>
              <w:left w:val="single" w:color="auto" w:sz="4" w:space="0"/>
              <w:bottom w:val="single" w:color="auto" w:sz="4" w:space="0"/>
              <w:right w:val="single" w:color="auto" w:sz="4" w:space="0"/>
            </w:tcBorders>
            <w:vAlign w:val="center"/>
          </w:tcPr>
          <w:p w14:paraId="06D0BA23">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val="en-US" w:eastAsia="zh-CN"/>
              </w:rPr>
              <w:t>1</w:t>
            </w:r>
            <w:r>
              <w:rPr>
                <w:rFonts w:hint="eastAsia" w:ascii="仿宋_GB2312" w:hAnsi="仿宋_GB2312" w:eastAsia="仿宋_GB2312" w:cs="仿宋_GB2312"/>
                <w:b w:val="0"/>
                <w:bCs/>
                <w:color w:val="000000"/>
                <w:sz w:val="24"/>
                <w:szCs w:val="24"/>
              </w:rPr>
              <w:t>0分</w:t>
            </w:r>
          </w:p>
        </w:tc>
      </w:tr>
      <w:tr w14:paraId="59DED8AA">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2615" w:hRule="atLeast"/>
        </w:trPr>
        <w:tc>
          <w:tcPr>
            <w:tcW w:w="578" w:type="pct"/>
            <w:tcBorders>
              <w:top w:val="single" w:color="auto" w:sz="4" w:space="0"/>
              <w:left w:val="single" w:color="auto" w:sz="4" w:space="0"/>
              <w:bottom w:val="single" w:color="auto" w:sz="4" w:space="0"/>
              <w:right w:val="single" w:color="auto" w:sz="4" w:space="0"/>
            </w:tcBorders>
            <w:vAlign w:val="center"/>
          </w:tcPr>
          <w:p w14:paraId="4AC7A018">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4</w:t>
            </w:r>
          </w:p>
        </w:tc>
        <w:tc>
          <w:tcPr>
            <w:tcW w:w="775" w:type="pct"/>
            <w:tcBorders>
              <w:top w:val="single" w:color="auto" w:sz="4" w:space="0"/>
              <w:left w:val="single" w:color="auto" w:sz="4" w:space="0"/>
              <w:bottom w:val="single" w:color="auto" w:sz="4" w:space="0"/>
              <w:right w:val="single" w:color="auto" w:sz="4" w:space="0"/>
            </w:tcBorders>
            <w:vAlign w:val="center"/>
          </w:tcPr>
          <w:p w14:paraId="61B0744B">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sz w:val="24"/>
                <w:szCs w:val="24"/>
              </w:rPr>
              <w:t>拟投入设备评审</w:t>
            </w:r>
          </w:p>
        </w:tc>
        <w:tc>
          <w:tcPr>
            <w:tcW w:w="3190" w:type="pct"/>
            <w:tcBorders>
              <w:top w:val="single" w:color="auto" w:sz="4" w:space="0"/>
              <w:left w:val="single" w:color="auto" w:sz="4" w:space="0"/>
              <w:bottom w:val="single" w:color="auto" w:sz="4" w:space="0"/>
              <w:right w:val="single" w:color="auto" w:sz="4" w:space="0"/>
            </w:tcBorders>
            <w:vAlign w:val="center"/>
          </w:tcPr>
          <w:p w14:paraId="3F480689">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第一档次：针对本项目提供</w:t>
            </w:r>
            <w:r>
              <w:rPr>
                <w:rFonts w:hint="eastAsia" w:ascii="仿宋_GB2312" w:hAnsi="仿宋_GB2312" w:eastAsia="仿宋_GB2312" w:cs="仿宋_GB2312"/>
                <w:b w:val="0"/>
                <w:bCs/>
                <w:sz w:val="24"/>
                <w:szCs w:val="24"/>
              </w:rPr>
              <w:t>的维修工具器配备充足、非常合理，完全满足且优于项目实际需求的得4-5分</w:t>
            </w:r>
            <w:r>
              <w:rPr>
                <w:rFonts w:hint="eastAsia" w:ascii="仿宋_GB2312" w:hAnsi="仿宋_GB2312" w:eastAsia="仿宋_GB2312" w:cs="仿宋_GB2312"/>
                <w:b w:val="0"/>
                <w:bCs/>
                <w:color w:val="000000"/>
                <w:sz w:val="24"/>
                <w:szCs w:val="24"/>
              </w:rPr>
              <w:t>；</w:t>
            </w:r>
          </w:p>
          <w:p w14:paraId="681781BE">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第二档次：</w:t>
            </w:r>
            <w:r>
              <w:rPr>
                <w:rFonts w:hint="eastAsia" w:ascii="仿宋_GB2312" w:hAnsi="仿宋_GB2312" w:eastAsia="仿宋_GB2312" w:cs="仿宋_GB2312"/>
                <w:b w:val="0"/>
                <w:bCs/>
                <w:sz w:val="24"/>
                <w:szCs w:val="24"/>
              </w:rPr>
              <w:t>针对本项目提供的维修工具器配备相对完善、较为合理，满足项目实际需求的得2-3分</w:t>
            </w:r>
            <w:r>
              <w:rPr>
                <w:rFonts w:hint="eastAsia" w:ascii="仿宋_GB2312" w:hAnsi="仿宋_GB2312" w:eastAsia="仿宋_GB2312" w:cs="仿宋_GB2312"/>
                <w:b w:val="0"/>
                <w:bCs/>
                <w:color w:val="000000"/>
                <w:sz w:val="24"/>
                <w:szCs w:val="24"/>
              </w:rPr>
              <w:t>；</w:t>
            </w:r>
          </w:p>
          <w:p w14:paraId="47AFD9A1">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第三档次：</w:t>
            </w:r>
            <w:r>
              <w:rPr>
                <w:rFonts w:hint="eastAsia" w:ascii="仿宋_GB2312" w:hAnsi="仿宋_GB2312" w:eastAsia="仿宋_GB2312" w:cs="仿宋_GB2312"/>
                <w:b w:val="0"/>
                <w:bCs/>
                <w:sz w:val="24"/>
                <w:szCs w:val="24"/>
              </w:rPr>
              <w:t>针对本项目提供的维修工具器配备简单、但基本合理，基本满足项目实际需求的得1分</w:t>
            </w:r>
            <w:r>
              <w:rPr>
                <w:rFonts w:hint="eastAsia" w:ascii="仿宋_GB2312" w:hAnsi="仿宋_GB2312" w:eastAsia="仿宋_GB2312" w:cs="仿宋_GB2312"/>
                <w:b w:val="0"/>
                <w:bCs/>
                <w:color w:val="000000"/>
                <w:sz w:val="24"/>
                <w:szCs w:val="24"/>
              </w:rPr>
              <w:t>；</w:t>
            </w:r>
          </w:p>
          <w:p w14:paraId="7414593C">
            <w:pPr>
              <w:pStyle w:val="8"/>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未提供针对本项目的维修工具器的不得分</w:t>
            </w:r>
            <w:r>
              <w:rPr>
                <w:rFonts w:hint="eastAsia" w:ascii="仿宋_GB2312" w:hAnsi="仿宋_GB2312" w:eastAsia="仿宋_GB2312" w:cs="仿宋_GB2312"/>
                <w:b w:val="0"/>
                <w:bCs/>
                <w:color w:val="000000"/>
                <w:sz w:val="24"/>
                <w:szCs w:val="24"/>
              </w:rPr>
              <w:t>。</w:t>
            </w:r>
          </w:p>
        </w:tc>
        <w:tc>
          <w:tcPr>
            <w:tcW w:w="456" w:type="pct"/>
            <w:tcBorders>
              <w:top w:val="single" w:color="auto" w:sz="4" w:space="0"/>
              <w:left w:val="single" w:color="auto" w:sz="4" w:space="0"/>
              <w:bottom w:val="single" w:color="auto" w:sz="4" w:space="0"/>
              <w:right w:val="single" w:color="auto" w:sz="4" w:space="0"/>
            </w:tcBorders>
            <w:vAlign w:val="center"/>
          </w:tcPr>
          <w:p w14:paraId="04CF2C18">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p>
        </w:tc>
      </w:tr>
      <w:tr w14:paraId="18816A1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765" w:hRule="atLeast"/>
        </w:trPr>
        <w:tc>
          <w:tcPr>
            <w:tcW w:w="578" w:type="pct"/>
            <w:tcBorders>
              <w:top w:val="single" w:color="auto" w:sz="4" w:space="0"/>
              <w:left w:val="single" w:color="auto" w:sz="4" w:space="0"/>
              <w:bottom w:val="single" w:color="auto" w:sz="4" w:space="0"/>
              <w:right w:val="single" w:color="auto" w:sz="4" w:space="0"/>
            </w:tcBorders>
            <w:vAlign w:val="center"/>
          </w:tcPr>
          <w:p w14:paraId="2AEFAA4E">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w:t>
            </w:r>
          </w:p>
        </w:tc>
        <w:tc>
          <w:tcPr>
            <w:tcW w:w="775" w:type="pct"/>
            <w:tcBorders>
              <w:top w:val="single" w:color="auto" w:sz="4" w:space="0"/>
              <w:left w:val="single" w:color="auto" w:sz="4" w:space="0"/>
              <w:bottom w:val="single" w:color="auto" w:sz="4" w:space="0"/>
              <w:right w:val="single" w:color="auto" w:sz="4" w:space="0"/>
            </w:tcBorders>
            <w:vAlign w:val="center"/>
          </w:tcPr>
          <w:p w14:paraId="13F0555D">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项目组人员配置评审评分</w:t>
            </w:r>
          </w:p>
        </w:tc>
        <w:tc>
          <w:tcPr>
            <w:tcW w:w="3190" w:type="pct"/>
            <w:tcBorders>
              <w:top w:val="single" w:color="auto" w:sz="4" w:space="0"/>
              <w:left w:val="single" w:color="auto" w:sz="4" w:space="0"/>
              <w:bottom w:val="single" w:color="auto" w:sz="4" w:space="0"/>
              <w:right w:val="single" w:color="auto" w:sz="4" w:space="0"/>
            </w:tcBorders>
            <w:vAlign w:val="center"/>
          </w:tcPr>
          <w:p w14:paraId="302C4D52">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第一档次：</w:t>
            </w:r>
            <w:r>
              <w:rPr>
                <w:rFonts w:hint="eastAsia" w:ascii="仿宋_GB2312" w:hAnsi="仿宋_GB2312" w:eastAsia="仿宋_GB2312" w:cs="仿宋_GB2312"/>
                <w:b w:val="0"/>
                <w:bCs/>
                <w:sz w:val="24"/>
                <w:szCs w:val="24"/>
              </w:rPr>
              <w:t>拟派的项目团队人员组成科学合理、全面完整、切实可行，管理团队人员分工明确，经验丰富，专业技术实力强，人员资历强的，得10-15分</w:t>
            </w:r>
            <w:r>
              <w:rPr>
                <w:rFonts w:hint="eastAsia" w:ascii="仿宋_GB2312" w:hAnsi="仿宋_GB2312" w:eastAsia="仿宋_GB2312" w:cs="仿宋_GB2312"/>
                <w:b w:val="0"/>
                <w:bCs/>
                <w:color w:val="000000"/>
                <w:sz w:val="24"/>
                <w:szCs w:val="24"/>
              </w:rPr>
              <w:t>；</w:t>
            </w:r>
          </w:p>
          <w:p w14:paraId="0BF64397">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第二档次：</w:t>
            </w:r>
            <w:r>
              <w:rPr>
                <w:rFonts w:hint="eastAsia" w:ascii="仿宋_GB2312" w:hAnsi="仿宋_GB2312" w:eastAsia="仿宋_GB2312" w:cs="仿宋_GB2312"/>
                <w:b w:val="0"/>
                <w:bCs/>
                <w:sz w:val="24"/>
                <w:szCs w:val="24"/>
              </w:rPr>
              <w:t>拟派的项目团队人员组成基本合理、可行性，管理团队人员分工合理，专业技术实力一般，人员资历一般的，得4-9分</w:t>
            </w:r>
            <w:r>
              <w:rPr>
                <w:rFonts w:hint="eastAsia" w:ascii="仿宋_GB2312" w:hAnsi="仿宋_GB2312" w:eastAsia="仿宋_GB2312" w:cs="仿宋_GB2312"/>
                <w:b w:val="0"/>
                <w:bCs/>
                <w:color w:val="000000"/>
                <w:sz w:val="24"/>
                <w:szCs w:val="24"/>
              </w:rPr>
              <w:t>；</w:t>
            </w:r>
          </w:p>
          <w:p w14:paraId="2BE4DE08">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第三档次：</w:t>
            </w:r>
            <w:r>
              <w:rPr>
                <w:rFonts w:hint="eastAsia" w:ascii="仿宋_GB2312" w:hAnsi="仿宋_GB2312" w:eastAsia="仿宋_GB2312" w:cs="仿宋_GB2312"/>
                <w:b w:val="0"/>
                <w:bCs/>
                <w:sz w:val="24"/>
                <w:szCs w:val="24"/>
              </w:rPr>
              <w:t>提供的项目团队人员组成不合理、可行性差，管理团队人员分工不合理；人员资历弱的，得1-3分</w:t>
            </w:r>
            <w:r>
              <w:rPr>
                <w:rFonts w:hint="eastAsia" w:ascii="仿宋_GB2312" w:hAnsi="仿宋_GB2312" w:eastAsia="仿宋_GB2312" w:cs="仿宋_GB2312"/>
                <w:b w:val="0"/>
                <w:bCs/>
                <w:color w:val="000000"/>
                <w:sz w:val="24"/>
                <w:szCs w:val="24"/>
              </w:rPr>
              <w:t>；</w:t>
            </w:r>
          </w:p>
          <w:p w14:paraId="70964468">
            <w:pPr>
              <w:pStyle w:val="8"/>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sz w:val="24"/>
                <w:szCs w:val="24"/>
              </w:rPr>
              <w:t>未作说明的不得分</w:t>
            </w:r>
            <w:r>
              <w:rPr>
                <w:rFonts w:hint="eastAsia" w:ascii="仿宋_GB2312" w:hAnsi="仿宋_GB2312" w:eastAsia="仿宋_GB2312" w:cs="仿宋_GB2312"/>
                <w:b w:val="0"/>
                <w:bCs/>
                <w:color w:val="000000"/>
                <w:sz w:val="24"/>
                <w:szCs w:val="24"/>
              </w:rPr>
              <w:t>。</w:t>
            </w:r>
          </w:p>
          <w:p w14:paraId="6D4B96C5">
            <w:pPr>
              <w:pStyle w:val="8"/>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bCs w:val="0"/>
                <w:sz w:val="24"/>
                <w:szCs w:val="24"/>
              </w:rPr>
              <w:t>注：报价文件中需提供团队人员身份证、职称证（如有）、资格证书（如有）、劳动合同或社保证明材料等相关证明材料复印件，否则无效。</w:t>
            </w:r>
          </w:p>
        </w:tc>
        <w:tc>
          <w:tcPr>
            <w:tcW w:w="456" w:type="pct"/>
            <w:tcBorders>
              <w:top w:val="single" w:color="auto" w:sz="4" w:space="0"/>
              <w:left w:val="single" w:color="auto" w:sz="4" w:space="0"/>
              <w:bottom w:val="single" w:color="auto" w:sz="4" w:space="0"/>
              <w:right w:val="single" w:color="auto" w:sz="4" w:space="0"/>
            </w:tcBorders>
            <w:vAlign w:val="center"/>
          </w:tcPr>
          <w:p w14:paraId="5B573029">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15分</w:t>
            </w:r>
          </w:p>
        </w:tc>
      </w:tr>
      <w:tr w14:paraId="49C620D3">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2265" w:hRule="atLeast"/>
        </w:trPr>
        <w:tc>
          <w:tcPr>
            <w:tcW w:w="578" w:type="pct"/>
            <w:tcBorders>
              <w:top w:val="single" w:color="auto" w:sz="4" w:space="0"/>
              <w:left w:val="single" w:color="auto" w:sz="4" w:space="0"/>
              <w:bottom w:val="single" w:color="auto" w:sz="4" w:space="0"/>
              <w:right w:val="single" w:color="auto" w:sz="4" w:space="0"/>
            </w:tcBorders>
            <w:vAlign w:val="center"/>
          </w:tcPr>
          <w:p w14:paraId="1971E38A">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w:t>
            </w:r>
          </w:p>
        </w:tc>
        <w:tc>
          <w:tcPr>
            <w:tcW w:w="775" w:type="pct"/>
            <w:tcBorders>
              <w:top w:val="single" w:color="auto" w:sz="4" w:space="0"/>
              <w:left w:val="single" w:color="auto" w:sz="4" w:space="0"/>
              <w:bottom w:val="single" w:color="auto" w:sz="4" w:space="0"/>
              <w:right w:val="single" w:color="auto" w:sz="4" w:space="0"/>
            </w:tcBorders>
            <w:vAlign w:val="center"/>
          </w:tcPr>
          <w:p w14:paraId="79B80CCE">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类似业绩评审评分</w:t>
            </w:r>
          </w:p>
        </w:tc>
        <w:tc>
          <w:tcPr>
            <w:tcW w:w="3190" w:type="pct"/>
            <w:tcBorders>
              <w:top w:val="single" w:color="auto" w:sz="4" w:space="0"/>
              <w:left w:val="single" w:color="auto" w:sz="4" w:space="0"/>
              <w:bottom w:val="single" w:color="auto" w:sz="4" w:space="0"/>
              <w:right w:val="single" w:color="auto" w:sz="4" w:space="0"/>
            </w:tcBorders>
            <w:vAlign w:val="center"/>
          </w:tcPr>
          <w:p w14:paraId="1C8F082B">
            <w:pPr>
              <w:pStyle w:val="8"/>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在满足资格要求的基础上，申请人应提供2023年至本项目报价文件提交截止时间前已完成或正在实施的类似项目业绩，每提供1个有效类似业绩的得2分，分数加满为止。（提供业绩证明材料，业绩证明材料是指：合同协议书或中标通知书或业主证明等证明材料复印件，否则不予认可）</w:t>
            </w:r>
          </w:p>
        </w:tc>
        <w:tc>
          <w:tcPr>
            <w:tcW w:w="456" w:type="pct"/>
            <w:tcBorders>
              <w:top w:val="single" w:color="auto" w:sz="4" w:space="0"/>
              <w:left w:val="single" w:color="auto" w:sz="4" w:space="0"/>
              <w:bottom w:val="single" w:color="auto" w:sz="4" w:space="0"/>
              <w:right w:val="single" w:color="auto" w:sz="4" w:space="0"/>
            </w:tcBorders>
            <w:vAlign w:val="center"/>
          </w:tcPr>
          <w:p w14:paraId="1B1FD38D">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10分</w:t>
            </w:r>
          </w:p>
        </w:tc>
      </w:tr>
      <w:bookmarkEnd w:id="2"/>
    </w:tbl>
    <w:p w14:paraId="1FEEA5E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9.监督部门</w:t>
      </w:r>
    </w:p>
    <w:p w14:paraId="30FC37D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昆明城市污水处理运营有限责任公司</w:t>
      </w:r>
      <w:r>
        <w:rPr>
          <w:rFonts w:hint="eastAsia" w:ascii="仿宋_GB2312" w:hAnsi="仿宋_GB2312" w:eastAsia="仿宋_GB2312" w:cs="仿宋_GB2312"/>
          <w:bCs/>
          <w:sz w:val="32"/>
          <w:szCs w:val="32"/>
          <w:lang w:val="en-US" w:eastAsia="zh-CN"/>
        </w:rPr>
        <w:t>纪检监察室</w:t>
      </w:r>
      <w:r>
        <w:rPr>
          <w:rFonts w:hint="eastAsia" w:ascii="仿宋_GB2312" w:hAnsi="仿宋_GB2312" w:eastAsia="仿宋_GB2312" w:cs="仿宋_GB2312"/>
          <w:bCs/>
          <w:sz w:val="32"/>
          <w:szCs w:val="32"/>
        </w:rPr>
        <w:t>。</w:t>
      </w:r>
    </w:p>
    <w:p w14:paraId="391EA7F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10.发布公告的媒介</w:t>
      </w:r>
    </w:p>
    <w:p w14:paraId="6123FC0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本次询价比选公告在昆明滇池水务股份有限公司（www.kmdcwt.com）网站发布，采购人对其他网站或媒体转载的公告及公告内容不承担任何责任。</w:t>
      </w:r>
    </w:p>
    <w:p w14:paraId="560C25E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11.签约、履约</w:t>
      </w:r>
    </w:p>
    <w:p w14:paraId="64E26D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11.1中标方不得将中标项目转让给他人，也不得将中标项目肢解后转让给他人。</w:t>
      </w:r>
    </w:p>
    <w:p w14:paraId="1AE1F8A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11.2收到中标通知后，采购人和中标方应当自中标通知书发出之日起30 天内签订合同，中标人无正当理由拒签合同的，采购人取消其中标资格，给采购人造成损失的，中标人还应当予以赔偿。</w:t>
      </w:r>
    </w:p>
    <w:p w14:paraId="64116BC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11.3合同签订后，合作双方应严格按合同履行。</w:t>
      </w:r>
    </w:p>
    <w:p w14:paraId="1985504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12. 报价文件的递交</w:t>
      </w:r>
    </w:p>
    <w:p w14:paraId="193E162D">
      <w:pPr>
        <w:pStyle w:val="2"/>
        <w:keepNext w:val="0"/>
        <w:keepLines w:val="0"/>
        <w:pageBreakBefore w:val="0"/>
        <w:widowControl w:val="0"/>
        <w:kinsoku/>
        <w:wordWrap/>
        <w:overflowPunct/>
        <w:topLinePunct w:val="0"/>
        <w:autoSpaceDE/>
        <w:autoSpaceDN/>
        <w:bidi w:val="0"/>
        <w:spacing w:after="0" w:line="520" w:lineRule="exact"/>
        <w:ind w:firstLine="640" w:firstLineChars="200"/>
        <w:textAlignment w:val="auto"/>
        <w:rPr>
          <w:rFonts w:hint="eastAsia"/>
          <w:sz w:val="32"/>
          <w:szCs w:val="32"/>
        </w:rPr>
      </w:pPr>
      <w:r>
        <w:rPr>
          <w:rFonts w:hint="eastAsia" w:ascii="仿宋_GB2312" w:hAnsi="仿宋_GB2312" w:eastAsia="仿宋_GB2312" w:cs="仿宋_GB2312"/>
          <w:bCs/>
          <w:color w:val="000000"/>
          <w:sz w:val="32"/>
          <w:szCs w:val="32"/>
        </w:rPr>
        <w:t>如贵单位确认参与，请在接到本询价函后2026年</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17</w:t>
      </w:r>
      <w:r>
        <w:rPr>
          <w:rFonts w:hint="eastAsia" w:ascii="仿宋_GB2312" w:hAnsi="仿宋_GB2312" w:eastAsia="仿宋_GB2312" w:cs="仿宋_GB2312"/>
          <w:bCs/>
          <w:color w:val="000000"/>
          <w:sz w:val="32"/>
          <w:szCs w:val="32"/>
        </w:rPr>
        <w:t>日14时以送达的方式送至昆明城市污水处理运营有限责任公司（地址：云南省昆明市官南大道268号第二水质净化厂内）。</w:t>
      </w:r>
    </w:p>
    <w:p w14:paraId="6FC8DC9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13.联系方式</w:t>
      </w:r>
    </w:p>
    <w:p w14:paraId="53CFBB4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单位名称：昆明城市污水处理运营有限责任公司</w:t>
      </w:r>
    </w:p>
    <w:p w14:paraId="657A90F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地址：昆明市官南大道268号第二水质净化厂内</w:t>
      </w:r>
    </w:p>
    <w:p w14:paraId="686AFD6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联系人：杨师</w:t>
      </w:r>
    </w:p>
    <w:p w14:paraId="32BBE83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联系电话：</w:t>
      </w:r>
      <w:r>
        <w:rPr>
          <w:rFonts w:hint="eastAsia" w:ascii="仿宋_GB2312" w:hAnsi="仿宋_GB2312" w:eastAsia="仿宋_GB2312" w:cs="仿宋_GB2312"/>
          <w:bCs/>
          <w:color w:val="000000"/>
          <w:sz w:val="32"/>
          <w:szCs w:val="32"/>
          <w:lang w:val="en-US" w:eastAsia="zh-CN"/>
        </w:rPr>
        <w:t>66206570</w:t>
      </w:r>
    </w:p>
    <w:p w14:paraId="2C09A888">
      <w:pPr>
        <w:rPr>
          <w:rFonts w:ascii="宋体" w:hAnsi="宋体" w:cs="宋体"/>
          <w:szCs w:val="21"/>
        </w:rPr>
      </w:pPr>
    </w:p>
    <w:p w14:paraId="12419084">
      <w:pPr>
        <w:spacing w:line="580" w:lineRule="exact"/>
        <w:rPr>
          <w:rFonts w:hint="eastAsia" w:ascii="仿宋_GB2312" w:hAnsi="仿宋_GB2312" w:eastAsia="仿宋_GB2312" w:cs="仿宋_GB2312"/>
          <w:color w:val="000000"/>
          <w:sz w:val="32"/>
          <w:szCs w:val="32"/>
        </w:rPr>
      </w:pPr>
    </w:p>
    <w:p w14:paraId="5F6403B0">
      <w:pPr>
        <w:spacing w:line="580" w:lineRule="exact"/>
        <w:rPr>
          <w:rFonts w:hint="eastAsia" w:ascii="仿宋_GB2312" w:hAnsi="仿宋_GB2312" w:eastAsia="仿宋_GB2312" w:cs="仿宋_GB2312"/>
          <w:color w:val="000000"/>
          <w:sz w:val="32"/>
          <w:szCs w:val="32"/>
        </w:rPr>
      </w:pPr>
    </w:p>
    <w:p w14:paraId="39D8DD7C">
      <w:pPr>
        <w:spacing w:line="580" w:lineRule="exact"/>
        <w:rPr>
          <w:rFonts w:hint="eastAsia" w:ascii="仿宋_GB2312" w:hAnsi="仿宋_GB2312" w:eastAsia="仿宋_GB2312" w:cs="仿宋_GB2312"/>
          <w:color w:val="000000"/>
          <w:sz w:val="32"/>
          <w:szCs w:val="32"/>
        </w:rPr>
      </w:pPr>
    </w:p>
    <w:p w14:paraId="5E398F83">
      <w:pPr>
        <w:spacing w:line="580" w:lineRule="exact"/>
        <w:rPr>
          <w:rFonts w:hint="eastAsia" w:ascii="仿宋_GB2312" w:hAnsi="仿宋_GB2312" w:eastAsia="仿宋_GB2312" w:cs="仿宋_GB2312"/>
          <w:color w:val="000000"/>
          <w:sz w:val="32"/>
          <w:szCs w:val="32"/>
        </w:rPr>
      </w:pPr>
    </w:p>
    <w:p w14:paraId="45EBD05D">
      <w:pPr>
        <w:spacing w:line="580" w:lineRule="exact"/>
        <w:rPr>
          <w:rFonts w:hint="eastAsia" w:ascii="仿宋_GB2312" w:hAnsi="仿宋_GB2312" w:eastAsia="仿宋_GB2312" w:cs="仿宋_GB2312"/>
          <w:color w:val="000000"/>
          <w:sz w:val="32"/>
          <w:szCs w:val="32"/>
        </w:rPr>
      </w:pPr>
    </w:p>
    <w:p w14:paraId="49D95D38">
      <w:pPr>
        <w:spacing w:line="580" w:lineRule="exact"/>
        <w:rPr>
          <w:rFonts w:hint="eastAsia" w:ascii="仿宋_GB2312" w:hAnsi="仿宋_GB2312" w:eastAsia="仿宋_GB2312" w:cs="仿宋_GB2312"/>
          <w:color w:val="000000"/>
          <w:sz w:val="32"/>
          <w:szCs w:val="32"/>
        </w:rPr>
      </w:pPr>
    </w:p>
    <w:p w14:paraId="01F66163">
      <w:pPr>
        <w:spacing w:line="580" w:lineRule="exact"/>
        <w:rPr>
          <w:rFonts w:hint="eastAsia" w:ascii="仿宋_GB2312" w:hAnsi="仿宋_GB2312" w:eastAsia="仿宋_GB2312" w:cs="仿宋_GB2312"/>
          <w:color w:val="000000"/>
          <w:sz w:val="32"/>
          <w:szCs w:val="32"/>
        </w:rPr>
      </w:pPr>
    </w:p>
    <w:p w14:paraId="70A99A62">
      <w:pPr>
        <w:spacing w:line="580" w:lineRule="exact"/>
        <w:rPr>
          <w:rFonts w:hint="eastAsia" w:ascii="仿宋_GB2312" w:hAnsi="仿宋_GB2312" w:eastAsia="仿宋_GB2312" w:cs="仿宋_GB2312"/>
          <w:color w:val="000000"/>
          <w:sz w:val="32"/>
          <w:szCs w:val="32"/>
        </w:rPr>
      </w:pPr>
    </w:p>
    <w:p w14:paraId="3BD8E571">
      <w:pPr>
        <w:spacing w:line="580" w:lineRule="exact"/>
        <w:rPr>
          <w:rFonts w:hint="eastAsia" w:ascii="仿宋_GB2312" w:hAnsi="仿宋_GB2312" w:eastAsia="仿宋_GB2312" w:cs="仿宋_GB2312"/>
          <w:color w:val="000000"/>
          <w:sz w:val="32"/>
          <w:szCs w:val="32"/>
        </w:rPr>
      </w:pPr>
    </w:p>
    <w:p w14:paraId="484CBABC">
      <w:pPr>
        <w:spacing w:line="580" w:lineRule="exact"/>
        <w:rPr>
          <w:rFonts w:hint="eastAsia" w:ascii="仿宋_GB2312" w:hAnsi="仿宋_GB2312" w:eastAsia="仿宋_GB2312" w:cs="仿宋_GB2312"/>
          <w:color w:val="000000"/>
          <w:sz w:val="32"/>
          <w:szCs w:val="32"/>
        </w:rPr>
      </w:pPr>
    </w:p>
    <w:p w14:paraId="38786A4B">
      <w:pPr>
        <w:spacing w:line="580" w:lineRule="exact"/>
        <w:rPr>
          <w:rFonts w:hint="eastAsia" w:ascii="仿宋_GB2312" w:hAnsi="仿宋_GB2312" w:eastAsia="仿宋_GB2312" w:cs="仿宋_GB2312"/>
          <w:color w:val="000000"/>
          <w:sz w:val="32"/>
          <w:szCs w:val="32"/>
        </w:rPr>
      </w:pPr>
    </w:p>
    <w:p w14:paraId="0E272258">
      <w:pPr>
        <w:spacing w:line="580" w:lineRule="exact"/>
        <w:rPr>
          <w:rFonts w:hint="eastAsia" w:ascii="仿宋_GB2312" w:hAnsi="仿宋_GB2312" w:eastAsia="仿宋_GB2312" w:cs="仿宋_GB2312"/>
          <w:color w:val="000000"/>
          <w:sz w:val="32"/>
          <w:szCs w:val="32"/>
        </w:rPr>
      </w:pPr>
    </w:p>
    <w:p w14:paraId="0E1C4F2F">
      <w:pPr>
        <w:spacing w:line="580" w:lineRule="exact"/>
        <w:rPr>
          <w:rFonts w:hint="eastAsia" w:ascii="仿宋_GB2312" w:hAnsi="仿宋_GB2312" w:eastAsia="仿宋_GB2312" w:cs="仿宋_GB2312"/>
          <w:color w:val="000000"/>
          <w:sz w:val="32"/>
          <w:szCs w:val="32"/>
        </w:rPr>
      </w:pPr>
    </w:p>
    <w:p w14:paraId="79554F88">
      <w:pPr>
        <w:spacing w:line="580" w:lineRule="exact"/>
        <w:rPr>
          <w:rFonts w:hint="eastAsia" w:ascii="仿宋_GB2312" w:hAnsi="仿宋_GB2312" w:eastAsia="仿宋_GB2312" w:cs="仿宋_GB2312"/>
          <w:color w:val="000000"/>
          <w:sz w:val="32"/>
          <w:szCs w:val="32"/>
        </w:rPr>
      </w:pPr>
    </w:p>
    <w:p w14:paraId="26477A44">
      <w:pPr>
        <w:spacing w:line="580" w:lineRule="exact"/>
        <w:rPr>
          <w:rFonts w:hint="eastAsia" w:ascii="仿宋_GB2312" w:hAnsi="仿宋_GB2312" w:eastAsia="仿宋_GB2312" w:cs="仿宋_GB2312"/>
          <w:color w:val="000000"/>
          <w:sz w:val="32"/>
          <w:szCs w:val="32"/>
        </w:rPr>
      </w:pPr>
    </w:p>
    <w:p w14:paraId="01378A56">
      <w:pPr>
        <w:spacing w:line="580" w:lineRule="exact"/>
        <w:rPr>
          <w:rFonts w:hint="eastAsia" w:ascii="仿宋_GB2312" w:hAnsi="仿宋_GB2312" w:eastAsia="仿宋_GB2312" w:cs="仿宋_GB2312"/>
          <w:color w:val="000000"/>
          <w:sz w:val="32"/>
          <w:szCs w:val="32"/>
        </w:rPr>
      </w:pPr>
    </w:p>
    <w:p w14:paraId="7B2B50DC">
      <w:pPr>
        <w:spacing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附件一：</w:t>
      </w:r>
    </w:p>
    <w:p w14:paraId="6EEA6CEF">
      <w:pPr>
        <w:pStyle w:val="2"/>
        <w:spacing w:after="0" w:line="5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报价表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参考格式，可自拟</w:t>
      </w:r>
      <w:r>
        <w:rPr>
          <w:rFonts w:hint="eastAsia" w:ascii="仿宋_GB2312" w:hAnsi="仿宋_GB2312" w:eastAsia="仿宋_GB2312" w:cs="仿宋_GB2312"/>
          <w:b w:val="0"/>
          <w:bCs w:val="0"/>
          <w:sz w:val="32"/>
          <w:szCs w:val="32"/>
          <w:lang w:eastAsia="zh-CN"/>
        </w:rPr>
        <w:t>）</w:t>
      </w:r>
    </w:p>
    <w:p w14:paraId="44F131CA">
      <w:pPr>
        <w:pStyle w:val="2"/>
        <w:spacing w:after="0" w:line="580" w:lineRule="exact"/>
        <w:rPr>
          <w:rFonts w:hint="eastAsia" w:ascii="仿宋_GB2312" w:hAnsi="仿宋_GB2312" w:eastAsia="仿宋_GB2312" w:cs="仿宋_GB2312"/>
          <w:b w:val="0"/>
          <w:bCs w:val="0"/>
          <w:color w:val="000000"/>
          <w:sz w:val="32"/>
          <w:szCs w:val="32"/>
          <w:u w:val="single"/>
        </w:rPr>
      </w:pPr>
      <w:r>
        <w:rPr>
          <w:rFonts w:hint="eastAsia" w:ascii="仿宋_GB2312" w:hAnsi="仿宋_GB2312" w:eastAsia="仿宋_GB2312" w:cs="仿宋_GB2312"/>
          <w:b w:val="0"/>
          <w:bCs w:val="0"/>
          <w:color w:val="000000"/>
          <w:sz w:val="32"/>
          <w:szCs w:val="32"/>
        </w:rPr>
        <w:t>致：</w:t>
      </w:r>
      <w:r>
        <w:rPr>
          <w:rFonts w:hint="eastAsia" w:ascii="仿宋_GB2312" w:hAnsi="仿宋_GB2312" w:eastAsia="仿宋_GB2312" w:cs="仿宋_GB2312"/>
          <w:b w:val="0"/>
          <w:bCs w:val="0"/>
          <w:color w:val="000000"/>
          <w:sz w:val="32"/>
          <w:szCs w:val="32"/>
          <w:u w:val="single"/>
        </w:rPr>
        <w:t>昆明城市污水处理运营有限责任公司</w:t>
      </w:r>
    </w:p>
    <w:p w14:paraId="6D209D7E">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经我单位研究，</w:t>
      </w:r>
      <w:bookmarkStart w:id="3" w:name="_Hlk63755697"/>
      <w:r>
        <w:rPr>
          <w:rFonts w:hint="eastAsia" w:ascii="仿宋_GB2312" w:hAnsi="仿宋_GB2312" w:eastAsia="仿宋_GB2312" w:cs="仿宋_GB2312"/>
          <w:b w:val="0"/>
          <w:bCs w:val="0"/>
          <w:color w:val="000000"/>
          <w:sz w:val="32"/>
          <w:szCs w:val="32"/>
          <w:u w:val="single"/>
        </w:rPr>
        <w:t>昆明城市污水处理运营有限责任公司</w:t>
      </w:r>
      <w:bookmarkEnd w:id="3"/>
      <w:r>
        <w:rPr>
          <w:rFonts w:hint="eastAsia" w:ascii="仿宋_GB2312" w:hAnsi="仿宋_GB2312" w:eastAsia="仿宋_GB2312" w:cs="仿宋_GB2312"/>
          <w:bCs/>
          <w:sz w:val="32"/>
          <w:szCs w:val="32"/>
        </w:rPr>
        <w:t>滇池水务第二办公区物业管理单位选聘项目</w:t>
      </w:r>
      <w:r>
        <w:rPr>
          <w:rFonts w:hint="eastAsia" w:ascii="仿宋_GB2312" w:hAnsi="仿宋_GB2312" w:eastAsia="仿宋_GB2312" w:cs="仿宋_GB2312"/>
          <w:b w:val="0"/>
          <w:bCs w:val="0"/>
          <w:color w:val="000000"/>
          <w:sz w:val="32"/>
          <w:szCs w:val="32"/>
        </w:rPr>
        <w:t>，我公司报价为</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rPr>
        <w:t>且承诺：</w:t>
      </w:r>
      <w:r>
        <w:rPr>
          <w:rFonts w:hint="eastAsia" w:ascii="仿宋_GB2312" w:hAnsi="仿宋_GB2312" w:eastAsia="仿宋_GB2312" w:cs="仿宋_GB2312"/>
          <w:bCs/>
          <w:sz w:val="32"/>
          <w:szCs w:val="32"/>
        </w:rPr>
        <w:t>包含但不限于政策性文件规定及合同包含的所有风险、责任，以及完成物业管理服务、电梯维护保养服务、消防设施设备维护保养服务的人工费、管理费、措施费、利润、规费、税金及风险费等为完成本项目所需的全部费用</w:t>
      </w:r>
      <w:r>
        <w:rPr>
          <w:rFonts w:hint="eastAsia" w:ascii="仿宋_GB2312" w:hAnsi="仿宋_GB2312" w:eastAsia="仿宋_GB2312" w:cs="仿宋_GB2312"/>
          <w:b w:val="0"/>
          <w:bCs w:val="0"/>
          <w:sz w:val="32"/>
          <w:szCs w:val="32"/>
        </w:rPr>
        <w:t>，招标人</w:t>
      </w:r>
      <w:r>
        <w:rPr>
          <w:rFonts w:hint="eastAsia" w:ascii="仿宋_GB2312" w:hAnsi="仿宋_GB2312" w:eastAsia="仿宋_GB2312" w:cs="仿宋_GB2312"/>
          <w:b w:val="0"/>
          <w:bCs w:val="0"/>
          <w:sz w:val="32"/>
          <w:szCs w:val="32"/>
          <w:lang w:eastAsia="zh-CN"/>
        </w:rPr>
        <w:t>不再</w:t>
      </w:r>
      <w:r>
        <w:rPr>
          <w:rFonts w:hint="eastAsia" w:ascii="仿宋_GB2312" w:hAnsi="仿宋_GB2312" w:eastAsia="仿宋_GB2312" w:cs="仿宋_GB2312"/>
          <w:b w:val="0"/>
          <w:bCs w:val="0"/>
          <w:sz w:val="32"/>
          <w:szCs w:val="32"/>
        </w:rPr>
        <w:t>支付任何费用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w:t>
      </w:r>
    </w:p>
    <w:tbl>
      <w:tblPr>
        <w:tblStyle w:val="13"/>
        <w:tblW w:w="1001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433"/>
        <w:gridCol w:w="6637"/>
      </w:tblGrid>
      <w:tr w14:paraId="5298EAE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948" w:type="dxa"/>
            <w:shd w:val="clear" w:color="auto" w:fill="8EAADB"/>
            <w:vAlign w:val="center"/>
          </w:tcPr>
          <w:p w14:paraId="306B2ECD">
            <w:pPr>
              <w:jc w:val="center"/>
              <w:rPr>
                <w:rFonts w:ascii="宋体" w:hAnsi="宋体"/>
                <w:b/>
                <w:color w:val="000000"/>
              </w:rPr>
            </w:pPr>
            <w:r>
              <w:rPr>
                <w:rFonts w:hint="eastAsia" w:ascii="宋体" w:hAnsi="宋体"/>
                <w:b/>
                <w:color w:val="000000"/>
              </w:rPr>
              <w:t>序号</w:t>
            </w:r>
          </w:p>
        </w:tc>
        <w:tc>
          <w:tcPr>
            <w:tcW w:w="2433" w:type="dxa"/>
            <w:shd w:val="clear" w:color="auto" w:fill="8EAADB"/>
            <w:vAlign w:val="center"/>
          </w:tcPr>
          <w:p w14:paraId="5F3BF90E">
            <w:pPr>
              <w:jc w:val="center"/>
              <w:rPr>
                <w:rFonts w:ascii="宋体" w:hAnsi="宋体"/>
                <w:b/>
                <w:color w:val="000000"/>
              </w:rPr>
            </w:pPr>
            <w:r>
              <w:rPr>
                <w:rFonts w:hint="eastAsia" w:ascii="宋体" w:hAnsi="宋体"/>
                <w:b/>
                <w:color w:val="000000"/>
              </w:rPr>
              <w:t>名称</w:t>
            </w:r>
          </w:p>
        </w:tc>
        <w:tc>
          <w:tcPr>
            <w:tcW w:w="6637" w:type="dxa"/>
            <w:shd w:val="clear" w:color="auto" w:fill="8EAADB"/>
            <w:vAlign w:val="center"/>
          </w:tcPr>
          <w:p w14:paraId="2CE5FB4A">
            <w:pPr>
              <w:jc w:val="center"/>
              <w:rPr>
                <w:rFonts w:ascii="宋体" w:hAnsi="宋体"/>
                <w:b/>
                <w:color w:val="000000"/>
              </w:rPr>
            </w:pPr>
            <w:r>
              <w:rPr>
                <w:rFonts w:hint="eastAsia" w:ascii="宋体" w:hAnsi="宋体"/>
                <w:b/>
                <w:color w:val="000000"/>
              </w:rPr>
              <w:t>投标人承诺</w:t>
            </w:r>
          </w:p>
        </w:tc>
      </w:tr>
      <w:tr w14:paraId="4C4B4DC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vAlign w:val="center"/>
          </w:tcPr>
          <w:p w14:paraId="150F87C9">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p>
        </w:tc>
        <w:tc>
          <w:tcPr>
            <w:tcW w:w="2433" w:type="dxa"/>
            <w:vAlign w:val="center"/>
          </w:tcPr>
          <w:p w14:paraId="41735681">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单价</w:t>
            </w:r>
          </w:p>
        </w:tc>
        <w:tc>
          <w:tcPr>
            <w:tcW w:w="6637" w:type="dxa"/>
            <w:vAlign w:val="center"/>
          </w:tcPr>
          <w:p w14:paraId="35A97C61">
            <w:pPr>
              <w:rPr>
                <w:rFonts w:hint="eastAsia" w:ascii="仿宋_GB2312" w:hAnsi="仿宋_GB2312" w:eastAsia="仿宋_GB2312" w:cs="仿宋_GB2312"/>
                <w:color w:val="000000"/>
                <w:sz w:val="32"/>
                <w:szCs w:val="32"/>
              </w:rPr>
            </w:pPr>
          </w:p>
        </w:tc>
      </w:tr>
      <w:tr w14:paraId="265E2C7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vAlign w:val="center"/>
          </w:tcPr>
          <w:p w14:paraId="4CFC1341">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2433" w:type="dxa"/>
            <w:vAlign w:val="center"/>
          </w:tcPr>
          <w:p w14:paraId="60EE68C0">
            <w:pPr>
              <w:jc w:val="center"/>
              <w:rPr>
                <w:rFonts w:hint="eastAsia" w:ascii="仿宋_GB2312" w:hAnsi="仿宋_GB2312" w:eastAsia="仿宋_GB2312" w:cs="仿宋_GB2312"/>
                <w:color w:val="000000"/>
                <w:sz w:val="32"/>
                <w:szCs w:val="32"/>
              </w:rPr>
            </w:pPr>
            <w:r>
              <w:rPr>
                <w:rFonts w:hint="eastAsia" w:ascii="宋体" w:hAnsi="宋体" w:cs="宋体"/>
                <w:sz w:val="28"/>
                <w:szCs w:val="28"/>
              </w:rPr>
              <w:t>服务期限</w:t>
            </w:r>
          </w:p>
        </w:tc>
        <w:tc>
          <w:tcPr>
            <w:tcW w:w="6637" w:type="dxa"/>
            <w:vAlign w:val="center"/>
          </w:tcPr>
          <w:p w14:paraId="740019B9">
            <w:pPr>
              <w:rPr>
                <w:rFonts w:hint="eastAsia" w:ascii="仿宋_GB2312" w:hAnsi="仿宋_GB2312" w:eastAsia="仿宋_GB2312" w:cs="仿宋_GB2312"/>
                <w:color w:val="000000"/>
                <w:sz w:val="32"/>
                <w:szCs w:val="32"/>
              </w:rPr>
            </w:pPr>
          </w:p>
        </w:tc>
      </w:tr>
      <w:tr w14:paraId="528F54A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tcBorders>
              <w:bottom w:val="single" w:color="auto" w:sz="4" w:space="0"/>
            </w:tcBorders>
            <w:vAlign w:val="center"/>
          </w:tcPr>
          <w:p w14:paraId="6D3CC04C">
            <w:pPr>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w:t>
            </w:r>
          </w:p>
        </w:tc>
        <w:tc>
          <w:tcPr>
            <w:tcW w:w="2433" w:type="dxa"/>
            <w:tcBorders>
              <w:bottom w:val="single" w:color="auto" w:sz="4" w:space="0"/>
            </w:tcBorders>
            <w:vAlign w:val="center"/>
          </w:tcPr>
          <w:p w14:paraId="0CB80084">
            <w:pPr>
              <w:jc w:val="center"/>
              <w:rPr>
                <w:rFonts w:hint="eastAsia" w:ascii="仿宋_GB2312" w:hAnsi="仿宋_GB2312" w:eastAsia="仿宋_GB2312" w:cs="仿宋_GB2312"/>
                <w:color w:val="000000"/>
                <w:sz w:val="32"/>
                <w:szCs w:val="32"/>
              </w:rPr>
            </w:pPr>
            <w:r>
              <w:rPr>
                <w:rFonts w:hint="eastAsia" w:ascii="宋体" w:hAnsi="宋体" w:cs="宋体"/>
                <w:sz w:val="28"/>
                <w:szCs w:val="28"/>
              </w:rPr>
              <w:t>服务质量</w:t>
            </w:r>
          </w:p>
        </w:tc>
        <w:tc>
          <w:tcPr>
            <w:tcW w:w="6637" w:type="dxa"/>
            <w:tcBorders>
              <w:bottom w:val="single" w:color="auto" w:sz="4" w:space="0"/>
            </w:tcBorders>
            <w:vAlign w:val="center"/>
          </w:tcPr>
          <w:p w14:paraId="35C7D86B">
            <w:pPr>
              <w:rPr>
                <w:rFonts w:hint="eastAsia" w:ascii="仿宋_GB2312" w:hAnsi="仿宋_GB2312" w:eastAsia="仿宋_GB2312" w:cs="仿宋_GB2312"/>
                <w:color w:val="000000"/>
                <w:sz w:val="32"/>
                <w:szCs w:val="32"/>
              </w:rPr>
            </w:pPr>
          </w:p>
        </w:tc>
      </w:tr>
      <w:tr w14:paraId="3EDBF2A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tcBorders>
              <w:top w:val="single" w:color="auto" w:sz="4" w:space="0"/>
            </w:tcBorders>
            <w:vAlign w:val="center"/>
          </w:tcPr>
          <w:p w14:paraId="74C22924">
            <w:pPr>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w:t>
            </w:r>
          </w:p>
        </w:tc>
        <w:tc>
          <w:tcPr>
            <w:tcW w:w="2433" w:type="dxa"/>
            <w:tcBorders>
              <w:top w:val="single" w:color="auto" w:sz="4" w:space="0"/>
            </w:tcBorders>
            <w:vAlign w:val="center"/>
          </w:tcPr>
          <w:p w14:paraId="4303ADE0">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项目负责人</w:t>
            </w:r>
          </w:p>
        </w:tc>
        <w:tc>
          <w:tcPr>
            <w:tcW w:w="6637" w:type="dxa"/>
            <w:tcBorders>
              <w:top w:val="single" w:color="auto" w:sz="4" w:space="0"/>
            </w:tcBorders>
            <w:vAlign w:val="center"/>
          </w:tcPr>
          <w:p w14:paraId="574CAA76">
            <w:pPr>
              <w:rPr>
                <w:rFonts w:hint="eastAsia" w:ascii="仿宋_GB2312" w:hAnsi="仿宋_GB2312" w:eastAsia="仿宋_GB2312" w:cs="仿宋_GB2312"/>
                <w:color w:val="000000"/>
                <w:sz w:val="32"/>
                <w:szCs w:val="32"/>
              </w:rPr>
            </w:pPr>
          </w:p>
        </w:tc>
      </w:tr>
    </w:tbl>
    <w:p w14:paraId="07FF547C">
      <w:pPr>
        <w:spacing w:line="580" w:lineRule="exact"/>
        <w:rPr>
          <w:rFonts w:hint="eastAsia" w:ascii="仿宋_GB2312" w:hAnsi="仿宋_GB2312" w:eastAsia="仿宋_GB2312" w:cs="仿宋_GB2312"/>
          <w:color w:val="000000"/>
          <w:sz w:val="32"/>
          <w:szCs w:val="32"/>
        </w:rPr>
      </w:pPr>
    </w:p>
    <w:p w14:paraId="3389BF22">
      <w:pPr>
        <w:spacing w:line="580" w:lineRule="exact"/>
        <w:ind w:firstLine="4160" w:firstLineChars="1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单位名称：（盖章）</w:t>
      </w:r>
    </w:p>
    <w:p w14:paraId="58D19A47">
      <w:pPr>
        <w:spacing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法定代表人：（签字或盖章）</w:t>
      </w:r>
    </w:p>
    <w:p w14:paraId="130942D1">
      <w:pPr>
        <w:pStyle w:val="2"/>
        <w:spacing w:after="0" w:line="580"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时间： 年 月 日</w:t>
      </w:r>
    </w:p>
    <w:p w14:paraId="4E9D9D4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sz w:val="32"/>
          <w:szCs w:val="32"/>
          <w:lang w:eastAsia="zh-CN"/>
        </w:rPr>
      </w:pPr>
      <w:r>
        <w:rPr>
          <w:rFonts w:hint="eastAsia" w:cs="宋体"/>
          <w:color w:val="000000"/>
          <w:sz w:val="24"/>
        </w:rPr>
        <w:br w:type="page"/>
      </w:r>
      <w:r>
        <w:rPr>
          <w:rFonts w:hint="eastAsia" w:ascii="仿宋_GB2312" w:hAnsi="仿宋_GB2312" w:eastAsia="仿宋_GB2312" w:cs="仿宋_GB2312"/>
          <w:color w:val="000000"/>
          <w:sz w:val="32"/>
          <w:szCs w:val="32"/>
        </w:rPr>
        <w:t>附件二</w:t>
      </w:r>
      <w:r>
        <w:rPr>
          <w:rFonts w:hint="eastAsia" w:ascii="仿宋_GB2312" w:hAnsi="仿宋_GB2312" w:eastAsia="仿宋_GB2312" w:cs="仿宋_GB2312"/>
          <w:color w:val="000000"/>
          <w:sz w:val="32"/>
          <w:szCs w:val="32"/>
          <w:lang w:eastAsia="zh-CN"/>
        </w:rPr>
        <w:t>：</w:t>
      </w:r>
    </w:p>
    <w:p w14:paraId="5D176587">
      <w:pPr>
        <w:pStyle w:val="28"/>
        <w:spacing w:line="580" w:lineRule="exact"/>
        <w:jc w:val="both"/>
        <w:rPr>
          <w:rFonts w:hint="eastAsia" w:ascii="仿宋_GB2312" w:hAnsi="仿宋_GB2312" w:eastAsia="仿宋_GB2312" w:cs="仿宋_GB2312"/>
          <w:color w:val="000000"/>
          <w:sz w:val="32"/>
          <w:szCs w:val="32"/>
          <w:lang w:val="en-US" w:eastAsia="zh-CN"/>
        </w:rPr>
      </w:pPr>
    </w:p>
    <w:p w14:paraId="05553EB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分项报价明细表</w:t>
      </w:r>
    </w:p>
    <w:p w14:paraId="3A898D12">
      <w:pPr>
        <w:pStyle w:val="2"/>
        <w:rPr>
          <w:rFonts w:hint="eastAsia"/>
        </w:rPr>
      </w:pPr>
    </w:p>
    <w:tbl>
      <w:tblPr>
        <w:tblStyle w:val="13"/>
        <w:tblW w:w="5036" w:type="pct"/>
        <w:tblInd w:w="0" w:type="dxa"/>
        <w:tblLayout w:type="autofit"/>
        <w:tblCellMar>
          <w:top w:w="0" w:type="dxa"/>
          <w:left w:w="108" w:type="dxa"/>
          <w:bottom w:w="0" w:type="dxa"/>
          <w:right w:w="108" w:type="dxa"/>
        </w:tblCellMar>
      </w:tblPr>
      <w:tblGrid>
        <w:gridCol w:w="1020"/>
        <w:gridCol w:w="2591"/>
        <w:gridCol w:w="1426"/>
        <w:gridCol w:w="1999"/>
        <w:gridCol w:w="2319"/>
      </w:tblGrid>
      <w:tr w14:paraId="3692F59E">
        <w:tblPrEx>
          <w:tblCellMar>
            <w:top w:w="0" w:type="dxa"/>
            <w:left w:w="108" w:type="dxa"/>
            <w:bottom w:w="0" w:type="dxa"/>
            <w:right w:w="108" w:type="dxa"/>
          </w:tblCellMar>
        </w:tblPrEx>
        <w:trPr>
          <w:trHeight w:val="1101" w:hRule="atLeast"/>
        </w:trPr>
        <w:tc>
          <w:tcPr>
            <w:tcW w:w="545" w:type="pct"/>
            <w:tcBorders>
              <w:top w:val="single" w:color="auto" w:sz="6" w:space="0"/>
              <w:left w:val="single" w:color="auto" w:sz="6" w:space="0"/>
              <w:bottom w:val="single" w:color="auto" w:sz="6" w:space="0"/>
              <w:right w:val="single" w:color="auto" w:sz="6" w:space="0"/>
            </w:tcBorders>
            <w:noWrap w:val="0"/>
            <w:vAlign w:val="center"/>
          </w:tcPr>
          <w:p w14:paraId="515BAE27">
            <w:pPr>
              <w:jc w:val="center"/>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序号</w:t>
            </w:r>
          </w:p>
        </w:tc>
        <w:tc>
          <w:tcPr>
            <w:tcW w:w="1384" w:type="pct"/>
            <w:tcBorders>
              <w:top w:val="single" w:color="auto" w:sz="6" w:space="0"/>
              <w:left w:val="single" w:color="auto" w:sz="6" w:space="0"/>
              <w:bottom w:val="single" w:color="auto" w:sz="6" w:space="0"/>
              <w:right w:val="single" w:color="auto" w:sz="6" w:space="0"/>
            </w:tcBorders>
            <w:noWrap w:val="0"/>
            <w:vAlign w:val="center"/>
          </w:tcPr>
          <w:p w14:paraId="3C1817A0">
            <w:pPr>
              <w:jc w:val="center"/>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名称</w:t>
            </w:r>
          </w:p>
        </w:tc>
        <w:tc>
          <w:tcPr>
            <w:tcW w:w="762" w:type="pct"/>
            <w:tcBorders>
              <w:top w:val="single" w:color="auto" w:sz="6" w:space="0"/>
              <w:left w:val="single" w:color="auto" w:sz="6" w:space="0"/>
              <w:bottom w:val="single" w:color="auto" w:sz="6" w:space="0"/>
              <w:right w:val="single" w:color="auto" w:sz="6" w:space="0"/>
            </w:tcBorders>
            <w:noWrap w:val="0"/>
            <w:vAlign w:val="center"/>
          </w:tcPr>
          <w:p w14:paraId="3F87F754">
            <w:pPr>
              <w:jc w:val="center"/>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单位</w:t>
            </w:r>
          </w:p>
        </w:tc>
        <w:tc>
          <w:tcPr>
            <w:tcW w:w="1068" w:type="pct"/>
            <w:tcBorders>
              <w:top w:val="single" w:color="auto" w:sz="6" w:space="0"/>
              <w:left w:val="single" w:color="auto" w:sz="6" w:space="0"/>
              <w:bottom w:val="single" w:color="auto" w:sz="6" w:space="0"/>
              <w:right w:val="single" w:color="auto" w:sz="6" w:space="0"/>
            </w:tcBorders>
            <w:noWrap w:val="0"/>
            <w:vAlign w:val="center"/>
          </w:tcPr>
          <w:p w14:paraId="37637B5E">
            <w:pPr>
              <w:jc w:val="center"/>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单价(</w:t>
            </w:r>
            <w:r>
              <w:rPr>
                <w:rFonts w:hint="eastAsia" w:ascii="黑体" w:hAnsi="黑体" w:eastAsia="黑体" w:cs="黑体"/>
                <w:b w:val="0"/>
                <w:bCs/>
                <w:sz w:val="28"/>
                <w:szCs w:val="28"/>
              </w:rPr>
              <w:t>元/月</w:t>
            </w:r>
            <w:r>
              <w:rPr>
                <w:rFonts w:hint="eastAsia" w:ascii="黑体" w:hAnsi="黑体" w:eastAsia="黑体" w:cs="黑体"/>
                <w:b w:val="0"/>
                <w:bCs/>
                <w:color w:val="000000"/>
                <w:sz w:val="28"/>
                <w:szCs w:val="28"/>
              </w:rPr>
              <w:t>）</w:t>
            </w:r>
          </w:p>
        </w:tc>
        <w:tc>
          <w:tcPr>
            <w:tcW w:w="1239" w:type="pct"/>
            <w:tcBorders>
              <w:top w:val="single" w:color="auto" w:sz="6" w:space="0"/>
              <w:left w:val="single" w:color="auto" w:sz="6" w:space="0"/>
              <w:bottom w:val="single" w:color="auto" w:sz="6" w:space="0"/>
              <w:right w:val="single" w:color="auto" w:sz="6" w:space="0"/>
            </w:tcBorders>
            <w:noWrap w:val="0"/>
            <w:vAlign w:val="center"/>
          </w:tcPr>
          <w:p w14:paraId="0C8E6BE1">
            <w:pPr>
              <w:jc w:val="center"/>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备注</w:t>
            </w:r>
          </w:p>
        </w:tc>
      </w:tr>
      <w:tr w14:paraId="765F10C9">
        <w:tblPrEx>
          <w:tblCellMar>
            <w:top w:w="0" w:type="dxa"/>
            <w:left w:w="108" w:type="dxa"/>
            <w:bottom w:w="0" w:type="dxa"/>
            <w:right w:w="108" w:type="dxa"/>
          </w:tblCellMar>
        </w:tblPrEx>
        <w:trPr>
          <w:trHeight w:val="1714" w:hRule="exact"/>
        </w:trPr>
        <w:tc>
          <w:tcPr>
            <w:tcW w:w="545" w:type="pct"/>
            <w:tcBorders>
              <w:top w:val="single" w:color="auto" w:sz="6" w:space="0"/>
              <w:left w:val="single" w:color="auto" w:sz="6" w:space="0"/>
              <w:bottom w:val="single" w:color="auto" w:sz="6" w:space="0"/>
              <w:right w:val="single" w:color="auto" w:sz="6" w:space="0"/>
            </w:tcBorders>
            <w:noWrap w:val="0"/>
            <w:vAlign w:val="center"/>
          </w:tcPr>
          <w:p w14:paraId="05907D80">
            <w:pPr>
              <w:jc w:val="center"/>
              <w:rPr>
                <w:rFonts w:hint="eastAsia" w:ascii="宋体" w:hAnsi="宋体"/>
                <w:color w:val="000000"/>
                <w:sz w:val="28"/>
                <w:szCs w:val="28"/>
              </w:rPr>
            </w:pPr>
            <w:r>
              <w:rPr>
                <w:rFonts w:hint="eastAsia" w:ascii="宋体" w:hAnsi="宋体"/>
                <w:color w:val="000000"/>
                <w:sz w:val="28"/>
                <w:szCs w:val="28"/>
              </w:rPr>
              <w:t>1</w:t>
            </w:r>
          </w:p>
        </w:tc>
        <w:tc>
          <w:tcPr>
            <w:tcW w:w="1384" w:type="pct"/>
            <w:tcBorders>
              <w:top w:val="single" w:color="auto" w:sz="6" w:space="0"/>
              <w:left w:val="single" w:color="auto" w:sz="6" w:space="0"/>
              <w:bottom w:val="single" w:color="auto" w:sz="6" w:space="0"/>
              <w:right w:val="single" w:color="auto" w:sz="6" w:space="0"/>
            </w:tcBorders>
            <w:noWrap w:val="0"/>
            <w:vAlign w:val="center"/>
          </w:tcPr>
          <w:p w14:paraId="40ECDE94">
            <w:pPr>
              <w:jc w:val="center"/>
              <w:rPr>
                <w:rFonts w:hint="eastAsia" w:ascii="宋体" w:hAnsi="宋体" w:cs="宋体"/>
                <w:color w:val="000000"/>
                <w:sz w:val="28"/>
                <w:szCs w:val="28"/>
              </w:rPr>
            </w:pPr>
            <w:r>
              <w:rPr>
                <w:rFonts w:hint="eastAsia" w:ascii="宋体" w:hAnsi="宋体" w:cs="宋体"/>
                <w:color w:val="000000"/>
                <w:sz w:val="28"/>
                <w:szCs w:val="28"/>
              </w:rPr>
              <w:t>物业管理付费</w:t>
            </w:r>
          </w:p>
        </w:tc>
        <w:tc>
          <w:tcPr>
            <w:tcW w:w="762" w:type="pct"/>
            <w:tcBorders>
              <w:top w:val="single" w:color="auto" w:sz="6" w:space="0"/>
              <w:left w:val="single" w:color="auto" w:sz="6" w:space="0"/>
              <w:bottom w:val="single" w:color="auto" w:sz="6" w:space="0"/>
              <w:right w:val="nil"/>
            </w:tcBorders>
            <w:noWrap w:val="0"/>
            <w:vAlign w:val="center"/>
          </w:tcPr>
          <w:p w14:paraId="520037D8">
            <w:pPr>
              <w:jc w:val="center"/>
              <w:rPr>
                <w:rFonts w:hint="eastAsia" w:ascii="宋体" w:hAnsi="宋体" w:cs="宋体"/>
                <w:color w:val="000000"/>
                <w:sz w:val="28"/>
                <w:szCs w:val="28"/>
              </w:rPr>
            </w:pPr>
            <w:r>
              <w:rPr>
                <w:rFonts w:hint="eastAsia" w:ascii="宋体" w:hAnsi="宋体" w:cs="宋体"/>
                <w:sz w:val="28"/>
                <w:szCs w:val="28"/>
              </w:rPr>
              <w:t>㎡</w:t>
            </w:r>
          </w:p>
        </w:tc>
        <w:tc>
          <w:tcPr>
            <w:tcW w:w="1068" w:type="pct"/>
            <w:tcBorders>
              <w:top w:val="single" w:color="auto" w:sz="6" w:space="0"/>
              <w:left w:val="single" w:color="auto" w:sz="6" w:space="0"/>
              <w:bottom w:val="single" w:color="auto" w:sz="6" w:space="0"/>
              <w:right w:val="single" w:color="auto" w:sz="6" w:space="0"/>
            </w:tcBorders>
            <w:noWrap w:val="0"/>
            <w:vAlign w:val="center"/>
          </w:tcPr>
          <w:p w14:paraId="64B3083B">
            <w:pPr>
              <w:jc w:val="center"/>
              <w:rPr>
                <w:rFonts w:hint="eastAsia" w:ascii="宋体" w:hAnsi="宋体" w:cs="宋体"/>
                <w:color w:val="000000"/>
                <w:sz w:val="28"/>
                <w:szCs w:val="28"/>
              </w:rPr>
            </w:pPr>
          </w:p>
        </w:tc>
        <w:tc>
          <w:tcPr>
            <w:tcW w:w="1239" w:type="pct"/>
            <w:tcBorders>
              <w:top w:val="single" w:color="auto" w:sz="6" w:space="0"/>
              <w:left w:val="single" w:color="auto" w:sz="6" w:space="0"/>
              <w:bottom w:val="single" w:color="auto" w:sz="6" w:space="0"/>
              <w:right w:val="single" w:color="auto" w:sz="6" w:space="0"/>
            </w:tcBorders>
            <w:noWrap w:val="0"/>
            <w:vAlign w:val="center"/>
          </w:tcPr>
          <w:p w14:paraId="0289F53F">
            <w:pPr>
              <w:jc w:val="center"/>
              <w:rPr>
                <w:rFonts w:hint="eastAsia" w:ascii="宋体" w:hAnsi="宋体" w:cs="宋体"/>
                <w:color w:val="000000"/>
                <w:sz w:val="28"/>
                <w:szCs w:val="28"/>
              </w:rPr>
            </w:pPr>
          </w:p>
        </w:tc>
      </w:tr>
    </w:tbl>
    <w:p w14:paraId="0C6E6144">
      <w:pPr>
        <w:spacing w:line="480" w:lineRule="auto"/>
        <w:jc w:val="left"/>
        <w:rPr>
          <w:rFonts w:hint="eastAsia" w:ascii="宋体" w:hAnsi="宋体" w:cs="宋体"/>
          <w:szCs w:val="21"/>
        </w:rPr>
      </w:pPr>
      <w:r>
        <w:rPr>
          <w:rFonts w:hint="eastAsia" w:ascii="宋体" w:hAnsi="宋体" w:cs="宋体"/>
          <w:szCs w:val="21"/>
        </w:rPr>
        <w:t xml:space="preserve"> </w:t>
      </w:r>
    </w:p>
    <w:p w14:paraId="645B9215">
      <w:pPr>
        <w:pStyle w:val="2"/>
        <w:rPr>
          <w:rFonts w:hint="eastAsia"/>
        </w:rPr>
      </w:pPr>
    </w:p>
    <w:p w14:paraId="123C4D79">
      <w:pPr>
        <w:spacing w:line="48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          法定代表人（签字或盖章）：</w:t>
      </w:r>
    </w:p>
    <w:p w14:paraId="6B06F70B">
      <w:pPr>
        <w:pStyle w:val="2"/>
        <w:rPr>
          <w:rFonts w:hint="eastAsia"/>
        </w:rPr>
      </w:pPr>
    </w:p>
    <w:p w14:paraId="57B5DCB6">
      <w:pPr>
        <w:widowControl/>
        <w:ind w:firstLine="320" w:firstLineChars="100"/>
        <w:jc w:val="left"/>
        <w:rPr>
          <w:rFonts w:hint="eastAsia" w:ascii="仿宋_GB2312" w:hAnsi="仿宋_GB2312" w:eastAsia="仿宋_GB2312" w:cs="仿宋_GB2312"/>
          <w:bCs/>
          <w:kern w:val="0"/>
          <w:sz w:val="32"/>
          <w:szCs w:val="32"/>
        </w:rPr>
        <w:sectPr>
          <w:pgSz w:w="11907" w:h="16840"/>
          <w:pgMar w:top="1418" w:right="1134" w:bottom="1134" w:left="1701" w:header="851" w:footer="851" w:gutter="0"/>
          <w:pgNumType w:start="0"/>
          <w:cols w:space="720" w:num="1"/>
        </w:sectPr>
      </w:pPr>
      <w:r>
        <w:rPr>
          <w:rFonts w:hint="eastAsia" w:ascii="仿宋_GB2312" w:hAnsi="仿宋_GB2312" w:eastAsia="仿宋_GB2312" w:cs="仿宋_GB2312"/>
          <w:sz w:val="32"/>
          <w:szCs w:val="32"/>
        </w:rPr>
        <w:t xml:space="preserve">                               时间：    年   月   日</w:t>
      </w:r>
    </w:p>
    <w:p w14:paraId="4008E8B8">
      <w:pPr>
        <w:pStyle w:val="28"/>
        <w:spacing w:line="580" w:lineRule="exact"/>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附件三：</w:t>
      </w:r>
    </w:p>
    <w:p w14:paraId="0A0D5F51">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廉政承诺书</w:t>
      </w:r>
    </w:p>
    <w:p w14:paraId="719E4C11">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u w:val="single"/>
          <w:lang w:val="zh-CN"/>
        </w:rPr>
      </w:pPr>
    </w:p>
    <w:p w14:paraId="049AACDA">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本企业参与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项目的</w:t>
      </w:r>
      <w:r>
        <w:rPr>
          <w:rFonts w:hint="eastAsia" w:ascii="仿宋_GB2312" w:hAnsi="仿宋_GB2312" w:eastAsia="仿宋_GB2312" w:cs="仿宋_GB2312"/>
          <w:sz w:val="32"/>
          <w:szCs w:val="32"/>
        </w:rPr>
        <w:t>询价</w:t>
      </w:r>
      <w:r>
        <w:rPr>
          <w:rFonts w:hint="eastAsia" w:ascii="仿宋_GB2312" w:hAnsi="仿宋_GB2312" w:eastAsia="仿宋_GB2312" w:cs="仿宋_GB2312"/>
          <w:sz w:val="32"/>
          <w:szCs w:val="32"/>
          <w:lang w:val="zh-CN"/>
        </w:rPr>
        <w:t>，现作如下承诺：</w:t>
      </w:r>
    </w:p>
    <w:p w14:paraId="1ECB90F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1.我公司参与此次</w:t>
      </w:r>
      <w:r>
        <w:rPr>
          <w:rFonts w:hint="eastAsia" w:ascii="仿宋_GB2312" w:hAnsi="仿宋_GB2312" w:eastAsia="仿宋_GB2312" w:cs="仿宋_GB2312"/>
          <w:sz w:val="32"/>
          <w:szCs w:val="32"/>
        </w:rPr>
        <w:t>询价</w:t>
      </w:r>
      <w:r>
        <w:rPr>
          <w:rFonts w:hint="eastAsia" w:ascii="仿宋_GB2312" w:hAnsi="仿宋_GB2312" w:eastAsia="仿宋_GB2312" w:cs="仿宋_GB2312"/>
          <w:sz w:val="32"/>
          <w:szCs w:val="32"/>
          <w:lang w:val="zh-CN"/>
        </w:rPr>
        <w:t>活动所提交的所有资料都是合法、真实、有效的。</w:t>
      </w:r>
    </w:p>
    <w:p w14:paraId="5EA05F8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2.不与其他投标人串通投标、围标，依法、依规公平竞争，不损害招标人或其他投标人的合法权益。</w:t>
      </w:r>
    </w:p>
    <w:p w14:paraId="1638DF3C">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3.不转让、出租、出借资质证书、人员岗位证书，不以法律法规禁止的方式投标。</w:t>
      </w:r>
    </w:p>
    <w:p w14:paraId="2214E20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4.不与招标人串通投标，不损害国家利益、社会公共利益或其他当事人的合法权益。</w:t>
      </w:r>
    </w:p>
    <w:p w14:paraId="1FF08524">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5.不向招标人、评标委员会成员、监督人员行贿。</w:t>
      </w:r>
    </w:p>
    <w:p w14:paraId="6CF4C9FE">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6.不扰乱秩序。</w:t>
      </w:r>
    </w:p>
    <w:p w14:paraId="3862DF00">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7.不进行虚假恶意投诉。</w:t>
      </w:r>
    </w:p>
    <w:p w14:paraId="60582B12">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8.因违反法律法规或相关规定被查处的，不干预案件查处。</w:t>
      </w:r>
    </w:p>
    <w:p w14:paraId="4A621084">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如出现违法、违规或不良行为，自愿接受纪检监察机关或司法机关调查处理。违法、违规或不良行为事实成立的，承担相关责任。给招标人造成损失的，依法承担赔偿责任。</w:t>
      </w:r>
    </w:p>
    <w:p w14:paraId="468C56D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p>
    <w:p w14:paraId="28AFAEFE">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投标人（</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u w:val="single"/>
          <w:lang w:val="zh-CN"/>
        </w:rPr>
        <w:t>_________________________________</w:t>
      </w:r>
    </w:p>
    <w:p w14:paraId="3D9BBFC4">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法定代表人（</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u w:val="single"/>
          <w:lang w:val="zh-CN"/>
        </w:rPr>
        <w:t>________________________</w:t>
      </w:r>
    </w:p>
    <w:p w14:paraId="7361DFC5">
      <w:pPr>
        <w:pStyle w:val="28"/>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p>
    <w:p w14:paraId="6682647D">
      <w:pPr>
        <w:ind w:firstLine="640" w:firstLineChars="200"/>
        <w:rPr>
          <w:rFonts w:hint="eastAsia" w:ascii="仿宋_GB2312" w:hAnsi="仿宋_GB2312" w:eastAsia="仿宋_GB2312" w:cs="仿宋_GB2312"/>
          <w:color w:val="000000"/>
          <w:sz w:val="32"/>
          <w:szCs w:val="32"/>
        </w:rPr>
      </w:pPr>
    </w:p>
    <w:p w14:paraId="239A9D3C">
      <w:pP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w:t>
      </w:r>
    </w:p>
    <w:p w14:paraId="1FD09B3F">
      <w:pPr>
        <w:pStyle w:val="28"/>
        <w:spacing w:line="36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信誉承诺</w:t>
      </w:r>
    </w:p>
    <w:p w14:paraId="79F3AB12">
      <w:pPr>
        <w:pStyle w:val="28"/>
        <w:spacing w:line="360" w:lineRule="auto"/>
        <w:jc w:val="center"/>
        <w:rPr>
          <w:rFonts w:ascii="仿宋_GB2312" w:hAnsi="仿宋_GB2312" w:eastAsia="仿宋_GB2312" w:cs="仿宋_GB2312"/>
          <w:color w:val="000000"/>
          <w:sz w:val="32"/>
          <w:szCs w:val="32"/>
        </w:rPr>
      </w:pPr>
    </w:p>
    <w:p w14:paraId="08B3E5C8">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我公司2023年至今信誉良好，没有处于被责令停业，投标资格被取消，财产被接管、冻结、破产状态；没有骗取中标和严重违约的情况。</w:t>
      </w:r>
    </w:p>
    <w:p w14:paraId="48172CE3">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附信用中国查询网络截图</w:t>
      </w:r>
    </w:p>
    <w:p w14:paraId="4A0EC9F3">
      <w:pPr>
        <w:pStyle w:val="28"/>
        <w:spacing w:line="360" w:lineRule="auto"/>
        <w:ind w:firstLine="640" w:firstLineChars="200"/>
        <w:rPr>
          <w:rFonts w:ascii="仿宋_GB2312" w:hAnsi="仿宋_GB2312" w:eastAsia="仿宋_GB2312" w:cs="仿宋_GB2312"/>
          <w:color w:val="000000"/>
          <w:sz w:val="32"/>
          <w:szCs w:val="32"/>
          <w:lang w:val="zh-CN"/>
        </w:rPr>
      </w:pPr>
    </w:p>
    <w:p w14:paraId="77D810DF">
      <w:pPr>
        <w:pStyle w:val="28"/>
        <w:spacing w:line="360" w:lineRule="auto"/>
        <w:ind w:firstLine="640" w:firstLineChars="200"/>
        <w:rPr>
          <w:rFonts w:ascii="仿宋_GB2312" w:hAnsi="仿宋_GB2312" w:eastAsia="仿宋_GB2312" w:cs="仿宋_GB2312"/>
          <w:color w:val="000000"/>
          <w:sz w:val="32"/>
          <w:szCs w:val="32"/>
          <w:lang w:val="zh-CN"/>
        </w:rPr>
      </w:pPr>
    </w:p>
    <w:p w14:paraId="2BE7CF0A">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单位名称：</w:t>
      </w:r>
      <w:r>
        <w:rPr>
          <w:rFonts w:hint="eastAsia" w:ascii="仿宋_GB2312" w:hAnsi="仿宋_GB2312" w:eastAsia="仿宋_GB2312" w:cs="仿宋_GB2312"/>
          <w:color w:val="000000"/>
          <w:sz w:val="32"/>
          <w:szCs w:val="32"/>
          <w:u w:val="single"/>
          <w:lang w:val="zh-CN"/>
        </w:rPr>
        <w:t>___________________________</w:t>
      </w:r>
      <w:r>
        <w:rPr>
          <w:rFonts w:hint="eastAsia" w:ascii="仿宋_GB2312" w:hAnsi="仿宋_GB2312" w:eastAsia="仿宋_GB2312" w:cs="仿宋_GB2312"/>
          <w:color w:val="000000"/>
          <w:sz w:val="32"/>
          <w:szCs w:val="32"/>
        </w:rPr>
        <w:t>（盖章）</w:t>
      </w:r>
    </w:p>
    <w:p w14:paraId="4F9A2AE2">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法定代表人：</w:t>
      </w:r>
      <w:r>
        <w:rPr>
          <w:rFonts w:hint="eastAsia" w:ascii="仿宋_GB2312" w:hAnsi="仿宋_GB2312" w:eastAsia="仿宋_GB2312" w:cs="仿宋_GB2312"/>
          <w:color w:val="000000"/>
          <w:sz w:val="32"/>
          <w:szCs w:val="32"/>
          <w:u w:val="single"/>
          <w:lang w:val="zh-CN"/>
        </w:rPr>
        <w:t>________________________</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签字或盖章</w:t>
      </w:r>
      <w:r>
        <w:rPr>
          <w:rFonts w:hint="eastAsia" w:ascii="仿宋_GB2312" w:hAnsi="仿宋_GB2312" w:eastAsia="仿宋_GB2312" w:cs="仿宋_GB2312"/>
          <w:color w:val="000000"/>
          <w:sz w:val="32"/>
          <w:szCs w:val="32"/>
          <w:lang w:val="zh-CN"/>
        </w:rPr>
        <w:t>）</w:t>
      </w:r>
    </w:p>
    <w:p w14:paraId="0646AA29">
      <w:pPr>
        <w:pStyle w:val="28"/>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p>
    <w:p w14:paraId="3083369C">
      <w:pPr>
        <w:pStyle w:val="28"/>
        <w:spacing w:line="36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五：</w:t>
      </w:r>
    </w:p>
    <w:p w14:paraId="53E6A3EF">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竞价承诺函</w:t>
      </w:r>
    </w:p>
    <w:p w14:paraId="6EE06828">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一旦我方竞价成功，我方保证在收到中标</w:t>
      </w:r>
      <w:r>
        <w:rPr>
          <w:rFonts w:hint="eastAsia" w:ascii="仿宋_GB2312" w:hAnsi="仿宋_GB2312" w:eastAsia="仿宋_GB2312" w:cs="仿宋_GB2312"/>
          <w:color w:val="000000"/>
          <w:sz w:val="32"/>
          <w:szCs w:val="32"/>
          <w:lang w:eastAsia="zh-CN"/>
        </w:rPr>
        <w:t>通知书</w:t>
      </w:r>
      <w:r>
        <w:rPr>
          <w:rFonts w:hint="eastAsia" w:ascii="仿宋_GB2312" w:hAnsi="仿宋_GB2312" w:eastAsia="仿宋_GB2312" w:cs="仿宋_GB2312"/>
          <w:color w:val="000000"/>
          <w:sz w:val="32"/>
          <w:szCs w:val="32"/>
        </w:rPr>
        <w:t>后，在招标人规定的时间内开始编制工作，并在合同书所规定的时间内完成工作。</w:t>
      </w:r>
    </w:p>
    <w:p w14:paraId="2606AF89">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除非另外达成协议并生效，你方的中标通知和本竞价文件是我们双方合同的组成部分，我方愿</w:t>
      </w:r>
      <w:r>
        <w:rPr>
          <w:rFonts w:hint="eastAsia" w:ascii="仿宋_GB2312" w:hAnsi="仿宋_GB2312" w:eastAsia="仿宋_GB2312" w:cs="仿宋_GB2312"/>
          <w:color w:val="000000"/>
          <w:sz w:val="32"/>
          <w:szCs w:val="32"/>
          <w:lang w:eastAsia="zh-CN"/>
        </w:rPr>
        <w:t>按照《中华人民共和国</w:t>
      </w:r>
      <w:r>
        <w:rPr>
          <w:rFonts w:hint="eastAsia" w:ascii="仿宋_GB2312" w:hAnsi="仿宋_GB2312" w:eastAsia="仿宋_GB2312" w:cs="仿宋_GB2312"/>
          <w:color w:val="000000"/>
          <w:sz w:val="32"/>
          <w:szCs w:val="32"/>
        </w:rPr>
        <w:t>民法典》及其他有关</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的规定，自觉履行自己的全部责任。</w:t>
      </w:r>
    </w:p>
    <w:p w14:paraId="33763510">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left="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3.</w:t>
      </w:r>
      <w:r>
        <w:rPr>
          <w:rFonts w:hint="eastAsia" w:ascii="仿宋_GB2312" w:hAnsi="仿宋_GB2312" w:eastAsia="仿宋_GB2312" w:cs="仿宋_GB2312"/>
          <w:color w:val="000000"/>
          <w:sz w:val="32"/>
          <w:szCs w:val="32"/>
        </w:rPr>
        <w:t>在此我方郑重承诺：我方将按招标人的要求提供后续服务。</w:t>
      </w:r>
    </w:p>
    <w:p w14:paraId="0543ECE5">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left="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4.若因我方过错或违约导致造成损失的，愿意承担全部损失并支付合同价款10%的违约金。</w:t>
      </w:r>
    </w:p>
    <w:p w14:paraId="0652733F">
      <w:pPr>
        <w:tabs>
          <w:tab w:val="left" w:pos="7560"/>
        </w:tabs>
        <w:spacing w:beforeLines="50" w:line="360" w:lineRule="auto"/>
        <w:ind w:left="1" w:firstLine="566" w:firstLineChars="177"/>
        <w:rPr>
          <w:rFonts w:ascii="仿宋_GB2312" w:hAnsi="仿宋_GB2312" w:eastAsia="仿宋_GB2312" w:cs="仿宋_GB2312"/>
          <w:color w:val="000000"/>
          <w:sz w:val="32"/>
          <w:szCs w:val="32"/>
        </w:rPr>
      </w:pPr>
    </w:p>
    <w:p w14:paraId="040E196E">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单位名称：</w:t>
      </w:r>
      <w:r>
        <w:rPr>
          <w:rFonts w:hint="eastAsia" w:ascii="仿宋_GB2312" w:hAnsi="仿宋_GB2312" w:eastAsia="仿宋_GB2312" w:cs="仿宋_GB2312"/>
          <w:color w:val="000000"/>
          <w:sz w:val="32"/>
          <w:szCs w:val="32"/>
          <w:u w:val="single"/>
          <w:lang w:val="zh-CN"/>
        </w:rPr>
        <w:t>___________________________</w:t>
      </w:r>
      <w:r>
        <w:rPr>
          <w:rFonts w:hint="eastAsia" w:ascii="仿宋_GB2312" w:hAnsi="仿宋_GB2312" w:eastAsia="仿宋_GB2312" w:cs="仿宋_GB2312"/>
          <w:color w:val="000000"/>
          <w:sz w:val="32"/>
          <w:szCs w:val="32"/>
        </w:rPr>
        <w:t>（盖章）</w:t>
      </w:r>
    </w:p>
    <w:p w14:paraId="5E4BCD78">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法定代表人：</w:t>
      </w:r>
      <w:r>
        <w:rPr>
          <w:rFonts w:hint="eastAsia" w:ascii="仿宋_GB2312" w:hAnsi="仿宋_GB2312" w:eastAsia="仿宋_GB2312" w:cs="仿宋_GB2312"/>
          <w:color w:val="000000"/>
          <w:sz w:val="32"/>
          <w:szCs w:val="32"/>
          <w:u w:val="single"/>
          <w:lang w:val="zh-CN"/>
        </w:rPr>
        <w:t>________________________</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签字或盖章</w:t>
      </w:r>
      <w:r>
        <w:rPr>
          <w:rFonts w:hint="eastAsia" w:ascii="仿宋_GB2312" w:hAnsi="仿宋_GB2312" w:eastAsia="仿宋_GB2312" w:cs="仿宋_GB2312"/>
          <w:color w:val="000000"/>
          <w:sz w:val="32"/>
          <w:szCs w:val="32"/>
          <w:lang w:val="zh-CN"/>
        </w:rPr>
        <w:t>）</w:t>
      </w:r>
    </w:p>
    <w:p w14:paraId="0EE92356">
      <w:pPr>
        <w:pStyle w:val="28"/>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lang w:eastAsia="zh-CN"/>
        </w:rPr>
        <w:t>：</w:t>
      </w:r>
    </w:p>
    <w:p w14:paraId="274B6716">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其他材料</w:t>
      </w:r>
    </w:p>
    <w:p w14:paraId="30223819">
      <w:pPr>
        <w:keepNext w:val="0"/>
        <w:keepLines w:val="0"/>
        <w:pageBreakBefore w:val="0"/>
        <w:widowControl w:val="0"/>
        <w:numPr>
          <w:ilvl w:val="0"/>
          <w:numId w:val="0"/>
        </w:numPr>
        <w:tabs>
          <w:tab w:val="left" w:pos="756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营业执照副本</w:t>
      </w:r>
      <w:r>
        <w:rPr>
          <w:rFonts w:hint="eastAsia" w:ascii="仿宋_GB2312" w:hAnsi="仿宋_GB2312" w:eastAsia="仿宋_GB2312" w:cs="仿宋_GB2312"/>
          <w:color w:val="000000"/>
          <w:sz w:val="32"/>
          <w:szCs w:val="32"/>
          <w:lang w:eastAsia="zh-CN"/>
        </w:rPr>
        <w:t>复印件</w:t>
      </w:r>
    </w:p>
    <w:p w14:paraId="725F9CE0">
      <w:pPr>
        <w:keepNext w:val="0"/>
        <w:keepLines w:val="0"/>
        <w:pageBreakBefore w:val="0"/>
        <w:widowControl w:val="0"/>
        <w:numPr>
          <w:ilvl w:val="0"/>
          <w:numId w:val="0"/>
        </w:numPr>
        <w:tabs>
          <w:tab w:val="left" w:pos="756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2.资质文件</w:t>
      </w:r>
    </w:p>
    <w:p w14:paraId="454AA0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其他文件（包含但不限于：服务方案、工作时间安排计划及保证措施、拟投入设备、项目组人员配置、类似业绩等）</w:t>
      </w:r>
    </w:p>
    <w:p w14:paraId="445E715A">
      <w:pPr>
        <w:keepNext w:val="0"/>
        <w:keepLines w:val="0"/>
        <w:pageBreakBefore w:val="0"/>
        <w:widowControl w:val="0"/>
        <w:numPr>
          <w:ilvl w:val="0"/>
          <w:numId w:val="0"/>
        </w:numPr>
        <w:tabs>
          <w:tab w:val="left" w:pos="756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竞价人认为需要提交的其他材料（格式自拟）</w:t>
      </w:r>
    </w:p>
    <w:p w14:paraId="062BF334">
      <w:pPr>
        <w:pStyle w:val="2"/>
        <w:rPr>
          <w:rFonts w:ascii="宋体" w:hAnsi="宋体" w:cs="宋体"/>
          <w:szCs w:val="21"/>
        </w:rPr>
      </w:pP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EA6B">
    <w:pPr>
      <w:pStyle w:val="8"/>
      <w:spacing w:line="360" w:lineRule="auto"/>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14:paraId="56428E4B">
                <w:pPr>
                  <w:pStyle w:val="8"/>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5911">
    <w:pPr>
      <w:pStyle w:val="9"/>
      <w:pBdr>
        <w:bottom w:val="none" w:color="auto" w:sz="0" w:space="0"/>
      </w:pBd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77E45"/>
    <w:rsid w:val="000018B5"/>
    <w:rsid w:val="00004326"/>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6429"/>
    <w:rsid w:val="000A1EAF"/>
    <w:rsid w:val="000A21E3"/>
    <w:rsid w:val="000A41B9"/>
    <w:rsid w:val="000B4019"/>
    <w:rsid w:val="000D19D3"/>
    <w:rsid w:val="000D2EAA"/>
    <w:rsid w:val="000D5754"/>
    <w:rsid w:val="000E3A4D"/>
    <w:rsid w:val="000E55AF"/>
    <w:rsid w:val="000E6FB0"/>
    <w:rsid w:val="000E78FE"/>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DDF"/>
    <w:rsid w:val="001C533B"/>
    <w:rsid w:val="001D2D58"/>
    <w:rsid w:val="001E0733"/>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76A88"/>
    <w:rsid w:val="00386870"/>
    <w:rsid w:val="003939DB"/>
    <w:rsid w:val="003A43D5"/>
    <w:rsid w:val="003C39B5"/>
    <w:rsid w:val="003D1D3D"/>
    <w:rsid w:val="003D2546"/>
    <w:rsid w:val="003E01D8"/>
    <w:rsid w:val="003E205E"/>
    <w:rsid w:val="003F344D"/>
    <w:rsid w:val="003F50C3"/>
    <w:rsid w:val="00421F21"/>
    <w:rsid w:val="004252E8"/>
    <w:rsid w:val="0043350D"/>
    <w:rsid w:val="00440B75"/>
    <w:rsid w:val="004414B4"/>
    <w:rsid w:val="004551B8"/>
    <w:rsid w:val="0046119A"/>
    <w:rsid w:val="0046256A"/>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37F9E"/>
    <w:rsid w:val="00646103"/>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5482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1D5E"/>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55A1"/>
    <w:rsid w:val="00A878D2"/>
    <w:rsid w:val="00A87CA6"/>
    <w:rsid w:val="00A90CDA"/>
    <w:rsid w:val="00AA0810"/>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524E"/>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76131"/>
    <w:rsid w:val="00E8626C"/>
    <w:rsid w:val="00E906F7"/>
    <w:rsid w:val="00E91F92"/>
    <w:rsid w:val="00E94BF5"/>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194E"/>
    <w:rsid w:val="00F45C8D"/>
    <w:rsid w:val="00F47351"/>
    <w:rsid w:val="00F51150"/>
    <w:rsid w:val="00F55ABB"/>
    <w:rsid w:val="00F60FD9"/>
    <w:rsid w:val="00F62AD2"/>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346248"/>
    <w:rsid w:val="017D7944"/>
    <w:rsid w:val="01D04A90"/>
    <w:rsid w:val="01FD3CA9"/>
    <w:rsid w:val="02414430"/>
    <w:rsid w:val="032E6309"/>
    <w:rsid w:val="03524F9B"/>
    <w:rsid w:val="038452A2"/>
    <w:rsid w:val="03B87ED0"/>
    <w:rsid w:val="03EA2651"/>
    <w:rsid w:val="03F812E4"/>
    <w:rsid w:val="04455AD9"/>
    <w:rsid w:val="04BE5FB8"/>
    <w:rsid w:val="04F90B91"/>
    <w:rsid w:val="04FF093E"/>
    <w:rsid w:val="051C10F3"/>
    <w:rsid w:val="052A53FB"/>
    <w:rsid w:val="05E64439"/>
    <w:rsid w:val="05F45A09"/>
    <w:rsid w:val="061D4A17"/>
    <w:rsid w:val="064D13BD"/>
    <w:rsid w:val="06566600"/>
    <w:rsid w:val="068C5EFB"/>
    <w:rsid w:val="0758291A"/>
    <w:rsid w:val="080556A5"/>
    <w:rsid w:val="0901477A"/>
    <w:rsid w:val="09172FB4"/>
    <w:rsid w:val="0A917CCA"/>
    <w:rsid w:val="0AC57974"/>
    <w:rsid w:val="0B12482A"/>
    <w:rsid w:val="0B362277"/>
    <w:rsid w:val="0C8C238E"/>
    <w:rsid w:val="0CE265BB"/>
    <w:rsid w:val="0D2300D9"/>
    <w:rsid w:val="0D242D64"/>
    <w:rsid w:val="0D6945E7"/>
    <w:rsid w:val="0DF742E8"/>
    <w:rsid w:val="0E097B78"/>
    <w:rsid w:val="0E53391F"/>
    <w:rsid w:val="0E5B54E7"/>
    <w:rsid w:val="0EC56195"/>
    <w:rsid w:val="0F5512C6"/>
    <w:rsid w:val="10DD4976"/>
    <w:rsid w:val="11021ECC"/>
    <w:rsid w:val="111D4066"/>
    <w:rsid w:val="117C1A53"/>
    <w:rsid w:val="12541629"/>
    <w:rsid w:val="125769AD"/>
    <w:rsid w:val="129E7A48"/>
    <w:rsid w:val="13160779"/>
    <w:rsid w:val="13307235"/>
    <w:rsid w:val="135C2F68"/>
    <w:rsid w:val="13983E78"/>
    <w:rsid w:val="13EB044B"/>
    <w:rsid w:val="147321EF"/>
    <w:rsid w:val="153F0643"/>
    <w:rsid w:val="15C42D02"/>
    <w:rsid w:val="15FE05E0"/>
    <w:rsid w:val="163D6C97"/>
    <w:rsid w:val="165A14B6"/>
    <w:rsid w:val="168A0688"/>
    <w:rsid w:val="16D05C0F"/>
    <w:rsid w:val="16FC471D"/>
    <w:rsid w:val="170F07A6"/>
    <w:rsid w:val="17237EFC"/>
    <w:rsid w:val="18972950"/>
    <w:rsid w:val="18A215DE"/>
    <w:rsid w:val="18BB352C"/>
    <w:rsid w:val="18EA1B5D"/>
    <w:rsid w:val="196071E6"/>
    <w:rsid w:val="19BE5D1C"/>
    <w:rsid w:val="1A0A53A3"/>
    <w:rsid w:val="1A514D80"/>
    <w:rsid w:val="1BC577D4"/>
    <w:rsid w:val="1C2D3EE0"/>
    <w:rsid w:val="1CF61EBF"/>
    <w:rsid w:val="1D3E783E"/>
    <w:rsid w:val="1D437FFE"/>
    <w:rsid w:val="1D9E7543"/>
    <w:rsid w:val="1DAF5717"/>
    <w:rsid w:val="1DCE52D4"/>
    <w:rsid w:val="1EF42CCE"/>
    <w:rsid w:val="202D1DEC"/>
    <w:rsid w:val="20A16631"/>
    <w:rsid w:val="20DA3293"/>
    <w:rsid w:val="215D225D"/>
    <w:rsid w:val="217952E8"/>
    <w:rsid w:val="21951DE7"/>
    <w:rsid w:val="21A86B87"/>
    <w:rsid w:val="21A92AF2"/>
    <w:rsid w:val="21E604A4"/>
    <w:rsid w:val="225638C3"/>
    <w:rsid w:val="22646422"/>
    <w:rsid w:val="243E23EE"/>
    <w:rsid w:val="247D530E"/>
    <w:rsid w:val="24A54462"/>
    <w:rsid w:val="24D04F38"/>
    <w:rsid w:val="24E011DB"/>
    <w:rsid w:val="253634F0"/>
    <w:rsid w:val="2545415A"/>
    <w:rsid w:val="25B20DC9"/>
    <w:rsid w:val="26257C95"/>
    <w:rsid w:val="26321DB7"/>
    <w:rsid w:val="265C523D"/>
    <w:rsid w:val="265F25D3"/>
    <w:rsid w:val="26BB3CAD"/>
    <w:rsid w:val="26E8081A"/>
    <w:rsid w:val="27806CA5"/>
    <w:rsid w:val="278434B1"/>
    <w:rsid w:val="279D44C4"/>
    <w:rsid w:val="279E3DEE"/>
    <w:rsid w:val="27AB1F74"/>
    <w:rsid w:val="27B40C6B"/>
    <w:rsid w:val="27FF4D7C"/>
    <w:rsid w:val="28ED036A"/>
    <w:rsid w:val="29086F52"/>
    <w:rsid w:val="291B752F"/>
    <w:rsid w:val="292E24A0"/>
    <w:rsid w:val="29841D35"/>
    <w:rsid w:val="298B4546"/>
    <w:rsid w:val="299F78B6"/>
    <w:rsid w:val="29E654E5"/>
    <w:rsid w:val="2A026B63"/>
    <w:rsid w:val="2AAF1545"/>
    <w:rsid w:val="2AED28A3"/>
    <w:rsid w:val="2AED63FF"/>
    <w:rsid w:val="2B193B3D"/>
    <w:rsid w:val="2BE06353"/>
    <w:rsid w:val="2C602C01"/>
    <w:rsid w:val="2CC13E88"/>
    <w:rsid w:val="2D1F486A"/>
    <w:rsid w:val="2E1D3E04"/>
    <w:rsid w:val="2E4E18AB"/>
    <w:rsid w:val="2EE64F30"/>
    <w:rsid w:val="2F37233F"/>
    <w:rsid w:val="2FDB2E6E"/>
    <w:rsid w:val="2FE36023"/>
    <w:rsid w:val="2FFF3A5C"/>
    <w:rsid w:val="309E3DAD"/>
    <w:rsid w:val="31732929"/>
    <w:rsid w:val="31FE605D"/>
    <w:rsid w:val="32290E1C"/>
    <w:rsid w:val="32676307"/>
    <w:rsid w:val="32782D08"/>
    <w:rsid w:val="327D62BB"/>
    <w:rsid w:val="32AE46C6"/>
    <w:rsid w:val="33D44600"/>
    <w:rsid w:val="33D575BD"/>
    <w:rsid w:val="33E56114"/>
    <w:rsid w:val="35361B2E"/>
    <w:rsid w:val="35586B6B"/>
    <w:rsid w:val="35956CD8"/>
    <w:rsid w:val="35C90E59"/>
    <w:rsid w:val="35E422CA"/>
    <w:rsid w:val="36DF5796"/>
    <w:rsid w:val="378E0F6A"/>
    <w:rsid w:val="379441F2"/>
    <w:rsid w:val="37C94C73"/>
    <w:rsid w:val="37CD3840"/>
    <w:rsid w:val="37E71BEC"/>
    <w:rsid w:val="38082ACA"/>
    <w:rsid w:val="38532726"/>
    <w:rsid w:val="38A667C6"/>
    <w:rsid w:val="38B2566F"/>
    <w:rsid w:val="390E1114"/>
    <w:rsid w:val="39763A64"/>
    <w:rsid w:val="39A46C4A"/>
    <w:rsid w:val="39FA6443"/>
    <w:rsid w:val="3A3B3330"/>
    <w:rsid w:val="3A6F5083"/>
    <w:rsid w:val="3B5BC526"/>
    <w:rsid w:val="3BD322AF"/>
    <w:rsid w:val="3C2A51BA"/>
    <w:rsid w:val="3C325E7E"/>
    <w:rsid w:val="3C485B8B"/>
    <w:rsid w:val="3C8B46B3"/>
    <w:rsid w:val="3CB14A6D"/>
    <w:rsid w:val="3D6A38DF"/>
    <w:rsid w:val="3DC51A53"/>
    <w:rsid w:val="3DE13E4D"/>
    <w:rsid w:val="3EF77D82"/>
    <w:rsid w:val="3F67750A"/>
    <w:rsid w:val="3F732611"/>
    <w:rsid w:val="3F7FB7EE"/>
    <w:rsid w:val="3F803817"/>
    <w:rsid w:val="3F9D651E"/>
    <w:rsid w:val="3FC138F0"/>
    <w:rsid w:val="408A5BEA"/>
    <w:rsid w:val="408D14D1"/>
    <w:rsid w:val="409E221E"/>
    <w:rsid w:val="40BA4B7E"/>
    <w:rsid w:val="40C357E1"/>
    <w:rsid w:val="40EA2ED0"/>
    <w:rsid w:val="416A0352"/>
    <w:rsid w:val="41D465BF"/>
    <w:rsid w:val="41D65E12"/>
    <w:rsid w:val="41F26C08"/>
    <w:rsid w:val="41FF7B87"/>
    <w:rsid w:val="43602222"/>
    <w:rsid w:val="438020AF"/>
    <w:rsid w:val="438970F8"/>
    <w:rsid w:val="43CA6DE5"/>
    <w:rsid w:val="442A5B77"/>
    <w:rsid w:val="447604CF"/>
    <w:rsid w:val="44E54871"/>
    <w:rsid w:val="45221B70"/>
    <w:rsid w:val="45682DFA"/>
    <w:rsid w:val="45806396"/>
    <w:rsid w:val="467D4684"/>
    <w:rsid w:val="46E96C29"/>
    <w:rsid w:val="474048F3"/>
    <w:rsid w:val="475E6263"/>
    <w:rsid w:val="47677C16"/>
    <w:rsid w:val="477B5D50"/>
    <w:rsid w:val="47D202A4"/>
    <w:rsid w:val="48244179"/>
    <w:rsid w:val="485633DE"/>
    <w:rsid w:val="48F21359"/>
    <w:rsid w:val="49431BB4"/>
    <w:rsid w:val="49511B28"/>
    <w:rsid w:val="495B2438"/>
    <w:rsid w:val="49AB34BB"/>
    <w:rsid w:val="4A0550BC"/>
    <w:rsid w:val="4AB80EF1"/>
    <w:rsid w:val="4ACA1250"/>
    <w:rsid w:val="4B4D6770"/>
    <w:rsid w:val="4B842010"/>
    <w:rsid w:val="4BD73B76"/>
    <w:rsid w:val="4C096A53"/>
    <w:rsid w:val="4C124726"/>
    <w:rsid w:val="4C4873FA"/>
    <w:rsid w:val="4C642ABF"/>
    <w:rsid w:val="4CFE5DF2"/>
    <w:rsid w:val="4D8B0B83"/>
    <w:rsid w:val="4E2878D6"/>
    <w:rsid w:val="4EC6733B"/>
    <w:rsid w:val="4F6E60C1"/>
    <w:rsid w:val="4F825223"/>
    <w:rsid w:val="4F8E0FB0"/>
    <w:rsid w:val="503C6DE6"/>
    <w:rsid w:val="50850654"/>
    <w:rsid w:val="50EA500B"/>
    <w:rsid w:val="510734C7"/>
    <w:rsid w:val="510E0CFA"/>
    <w:rsid w:val="517F39A6"/>
    <w:rsid w:val="51A02DA3"/>
    <w:rsid w:val="51CD023D"/>
    <w:rsid w:val="51F577C4"/>
    <w:rsid w:val="526A6404"/>
    <w:rsid w:val="528E70F7"/>
    <w:rsid w:val="52B83749"/>
    <w:rsid w:val="531F19B3"/>
    <w:rsid w:val="535702D3"/>
    <w:rsid w:val="536F5970"/>
    <w:rsid w:val="538D19F3"/>
    <w:rsid w:val="53C926D0"/>
    <w:rsid w:val="53EB5322"/>
    <w:rsid w:val="54414F02"/>
    <w:rsid w:val="555B0286"/>
    <w:rsid w:val="55B2620E"/>
    <w:rsid w:val="55C91693"/>
    <w:rsid w:val="55E916E0"/>
    <w:rsid w:val="565F3DA6"/>
    <w:rsid w:val="56D22E33"/>
    <w:rsid w:val="56D244BA"/>
    <w:rsid w:val="56F76B94"/>
    <w:rsid w:val="56FA5023"/>
    <w:rsid w:val="57E0F744"/>
    <w:rsid w:val="57F1093F"/>
    <w:rsid w:val="58162BE2"/>
    <w:rsid w:val="58535244"/>
    <w:rsid w:val="59542C14"/>
    <w:rsid w:val="596A0DE6"/>
    <w:rsid w:val="596F1F91"/>
    <w:rsid w:val="598161B0"/>
    <w:rsid w:val="59C63F80"/>
    <w:rsid w:val="5C3C4F10"/>
    <w:rsid w:val="5C5A36BE"/>
    <w:rsid w:val="5D9E1657"/>
    <w:rsid w:val="5E622685"/>
    <w:rsid w:val="5EA115A8"/>
    <w:rsid w:val="5EAEDAF0"/>
    <w:rsid w:val="5EB01596"/>
    <w:rsid w:val="5EC31183"/>
    <w:rsid w:val="5EDE3D8A"/>
    <w:rsid w:val="5F6A7930"/>
    <w:rsid w:val="5F991CCF"/>
    <w:rsid w:val="5FA216BC"/>
    <w:rsid w:val="5FB306AA"/>
    <w:rsid w:val="5FCB4CB4"/>
    <w:rsid w:val="606B014D"/>
    <w:rsid w:val="60830D81"/>
    <w:rsid w:val="62071900"/>
    <w:rsid w:val="621E197A"/>
    <w:rsid w:val="62D71EBB"/>
    <w:rsid w:val="631877B6"/>
    <w:rsid w:val="63473BF7"/>
    <w:rsid w:val="63B05C41"/>
    <w:rsid w:val="63C56EEF"/>
    <w:rsid w:val="64B259E8"/>
    <w:rsid w:val="66805D9E"/>
    <w:rsid w:val="67780823"/>
    <w:rsid w:val="679BF493"/>
    <w:rsid w:val="68B97345"/>
    <w:rsid w:val="68DD5436"/>
    <w:rsid w:val="68E32614"/>
    <w:rsid w:val="690802CD"/>
    <w:rsid w:val="693E784B"/>
    <w:rsid w:val="69B845EA"/>
    <w:rsid w:val="6A3148C7"/>
    <w:rsid w:val="6A520565"/>
    <w:rsid w:val="6A8120E5"/>
    <w:rsid w:val="6BD403A7"/>
    <w:rsid w:val="6BE77361"/>
    <w:rsid w:val="6C046B2A"/>
    <w:rsid w:val="6C0C1503"/>
    <w:rsid w:val="6C2C42D2"/>
    <w:rsid w:val="6C9B76C4"/>
    <w:rsid w:val="6C9F2CF6"/>
    <w:rsid w:val="6D6D214B"/>
    <w:rsid w:val="6E14501E"/>
    <w:rsid w:val="6E5A5127"/>
    <w:rsid w:val="6E6E0BD2"/>
    <w:rsid w:val="6E8B5617"/>
    <w:rsid w:val="6FB2387E"/>
    <w:rsid w:val="7048597B"/>
    <w:rsid w:val="711B2828"/>
    <w:rsid w:val="718760A4"/>
    <w:rsid w:val="724C122A"/>
    <w:rsid w:val="726119F5"/>
    <w:rsid w:val="728D4E2E"/>
    <w:rsid w:val="732857F3"/>
    <w:rsid w:val="73683E42"/>
    <w:rsid w:val="73F531FC"/>
    <w:rsid w:val="7492403D"/>
    <w:rsid w:val="750774EA"/>
    <w:rsid w:val="754A7206"/>
    <w:rsid w:val="75673DA9"/>
    <w:rsid w:val="75DC0018"/>
    <w:rsid w:val="75ED062E"/>
    <w:rsid w:val="76672068"/>
    <w:rsid w:val="76870A83"/>
    <w:rsid w:val="76A258BD"/>
    <w:rsid w:val="76D57A40"/>
    <w:rsid w:val="76EB7264"/>
    <w:rsid w:val="77C166A7"/>
    <w:rsid w:val="77F959B0"/>
    <w:rsid w:val="78360441"/>
    <w:rsid w:val="784B788E"/>
    <w:rsid w:val="78764386"/>
    <w:rsid w:val="78A43B6E"/>
    <w:rsid w:val="790818F6"/>
    <w:rsid w:val="793E1182"/>
    <w:rsid w:val="79D041B3"/>
    <w:rsid w:val="79EF6414"/>
    <w:rsid w:val="7A592736"/>
    <w:rsid w:val="7A681106"/>
    <w:rsid w:val="7AF6385F"/>
    <w:rsid w:val="7BA3051E"/>
    <w:rsid w:val="7BCB31C0"/>
    <w:rsid w:val="7C605FFE"/>
    <w:rsid w:val="7E8E5223"/>
    <w:rsid w:val="7E9F0934"/>
    <w:rsid w:val="7EFBF7DF"/>
    <w:rsid w:val="7F8848A8"/>
    <w:rsid w:val="A37F02CA"/>
    <w:rsid w:val="AD3A8E27"/>
    <w:rsid w:val="AFF6D148"/>
    <w:rsid w:val="BF7F046D"/>
    <w:rsid w:val="DCF74910"/>
    <w:rsid w:val="DD14826F"/>
    <w:rsid w:val="EFDC4343"/>
    <w:rsid w:val="F3D08D0C"/>
    <w:rsid w:val="FDBE8147"/>
    <w:rsid w:val="FEDF7F98"/>
    <w:rsid w:val="FFEF881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2"/>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semiHidden/>
    <w:qFormat/>
    <w:uiPriority w:val="0"/>
    <w:pPr>
      <w:jc w:val="left"/>
    </w:pPr>
  </w:style>
  <w:style w:type="paragraph" w:styleId="5">
    <w:name w:val="Body Text Indent"/>
    <w:basedOn w:val="1"/>
    <w:qFormat/>
    <w:uiPriority w:val="0"/>
    <w:pPr>
      <w:spacing w:after="120"/>
      <w:ind w:left="420"/>
    </w:pPr>
  </w:style>
  <w:style w:type="paragraph" w:styleId="6">
    <w:name w:val="Date"/>
    <w:basedOn w:val="1"/>
    <w:next w:val="1"/>
    <w:link w:val="19"/>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semiHidden/>
    <w:qFormat/>
    <w:uiPriority w:val="0"/>
    <w:rPr>
      <w:b/>
      <w:bCs/>
    </w:rPr>
  </w:style>
  <w:style w:type="paragraph" w:styleId="12">
    <w:name w:val="Body Text First Indent 2"/>
    <w:basedOn w:val="5"/>
    <w:qFormat/>
    <w:uiPriority w:val="0"/>
    <w:pPr>
      <w:ind w:left="200" w:leftChars="200" w:firstLine="420" w:firstLineChars="200"/>
    </w:pPr>
  </w:style>
  <w:style w:type="character" w:styleId="15">
    <w:name w:val="Strong"/>
    <w:basedOn w:val="14"/>
    <w:qFormat/>
    <w:uiPriority w:val="0"/>
    <w:rPr>
      <w:b/>
    </w:rPr>
  </w:style>
  <w:style w:type="character" w:styleId="16">
    <w:name w:val="annotation reference"/>
    <w:basedOn w:val="14"/>
    <w:semiHidden/>
    <w:qFormat/>
    <w:uiPriority w:val="0"/>
    <w:rPr>
      <w:sz w:val="21"/>
      <w:szCs w:val="21"/>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0"/>
    <w:rPr>
      <w:kern w:val="2"/>
      <w:sz w:val="18"/>
      <w:szCs w:val="18"/>
    </w:rPr>
  </w:style>
  <w:style w:type="character" w:customStyle="1" w:styleId="19">
    <w:name w:val="日期 Char"/>
    <w:basedOn w:val="14"/>
    <w:link w:val="6"/>
    <w:qFormat/>
    <w:uiPriority w:val="0"/>
    <w:rPr>
      <w:kern w:val="2"/>
      <w:sz w:val="21"/>
      <w:szCs w:val="24"/>
    </w:rPr>
  </w:style>
  <w:style w:type="paragraph" w:styleId="20">
    <w:name w:val="List Paragraph"/>
    <w:basedOn w:val="1"/>
    <w:qFormat/>
    <w:uiPriority w:val="99"/>
    <w:pPr>
      <w:ind w:firstLine="420" w:firstLineChars="200"/>
    </w:pPr>
  </w:style>
  <w:style w:type="character" w:customStyle="1" w:styleId="21">
    <w:name w:val="标题 2 字符"/>
    <w:basedOn w:val="14"/>
    <w:semiHidden/>
    <w:qFormat/>
    <w:uiPriority w:val="0"/>
    <w:rPr>
      <w:rFonts w:asciiTheme="majorHAnsi" w:hAnsiTheme="majorHAnsi" w:eastAsiaTheme="majorEastAsia" w:cstheme="majorBidi"/>
      <w:b/>
      <w:bCs/>
      <w:kern w:val="2"/>
      <w:sz w:val="32"/>
      <w:szCs w:val="32"/>
    </w:rPr>
  </w:style>
  <w:style w:type="character" w:customStyle="1" w:styleId="22">
    <w:name w:val="标题 2 Char"/>
    <w:link w:val="3"/>
    <w:qFormat/>
    <w:uiPriority w:val="0"/>
    <w:rPr>
      <w:rFonts w:ascii="等线" w:hAnsi="等线" w:eastAsia="微软雅黑"/>
      <w:b/>
      <w:bCs/>
      <w:sz w:val="32"/>
      <w:szCs w:val="32"/>
    </w:rPr>
  </w:style>
  <w:style w:type="character" w:customStyle="1" w:styleId="23">
    <w:name w:val="页脚 Char2"/>
    <w:qFormat/>
    <w:uiPriority w:val="99"/>
    <w:rPr>
      <w:sz w:val="18"/>
    </w:rPr>
  </w:style>
  <w:style w:type="character" w:customStyle="1" w:styleId="24">
    <w:name w:val="页眉 Char2"/>
    <w:qFormat/>
    <w:uiPriority w:val="99"/>
    <w:rPr>
      <w:sz w:val="18"/>
    </w:rPr>
  </w:style>
  <w:style w:type="paragraph" w:customStyle="1" w:styleId="25">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Body text|1"/>
    <w:basedOn w:val="1"/>
    <w:qFormat/>
    <w:uiPriority w:val="0"/>
    <w:pPr>
      <w:spacing w:after="120" w:line="430" w:lineRule="auto"/>
    </w:pPr>
    <w:rPr>
      <w:rFonts w:ascii="宋体" w:hAnsi="宋体" w:cs="宋体"/>
      <w:color w:val="21408D"/>
      <w:sz w:val="22"/>
      <w:szCs w:val="22"/>
      <w:lang w:val="zh-TW" w:eastAsia="zh-TW" w:bidi="zh-TW"/>
    </w:rPr>
  </w:style>
  <w:style w:type="paragraph" w:customStyle="1" w:styleId="27">
    <w:name w:val="Body text|2"/>
    <w:basedOn w:val="1"/>
    <w:qFormat/>
    <w:uiPriority w:val="0"/>
    <w:pPr>
      <w:spacing w:line="319" w:lineRule="auto"/>
      <w:ind w:firstLine="420"/>
    </w:pPr>
    <w:rPr>
      <w:color w:val="21408D"/>
      <w:sz w:val="22"/>
      <w:szCs w:val="22"/>
      <w:lang w:val="zh-TW" w:eastAsia="zh-TW" w:bidi="zh-TW"/>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297879cf-d3ef-4f29-831a-ccc568561f29</errorID>
      <errorWord>日至2026年</errorWord>
      <group>L1_Word</group>
      <groupName>字词问题</groupName>
      <ability>L2_Typo</ability>
      <abilityName>字词错误</abilityName>
      <candidateList>
        <item>日起至2026年</item>
      </candidateList>
      <explain/>
      <paraID> D8A1965</paraID>
      <start>16</start>
      <end>23</end>
      <status>unmodified</status>
      <modifiedWord/>
      <trackRevisions>false</trackRevisions>
    </reviewItem>
    <reviewItem>
      <errorID>45e4de5a-a0a0-405a-8c83-8cbef223e225</errorID>
      <errorWord>(</errorWord>
      <group>L1_Format</group>
      <groupName>格式问题</groupName>
      <ability>L2_HalfPunc_CN</ability>
      <abilityName>全半角问题</abilityName>
      <candidateList>
        <item>（</item>
      </candidateList>
      <explain>文本全半角错误。</explain>
      <paraID>5564FCB1</paraID>
      <start>26</start>
      <end>27</end>
      <status>unmodified</status>
      <modifiedWord/>
      <trackRevisions>false</trackRevisions>
    </reviewItem>
    <reviewItem>
      <errorID>3153c07c-2226-448e-afe7-e96968685176</errorID>
      <errorWord>)</errorWord>
      <group>L1_Format</group>
      <groupName>格式问题</groupName>
      <ability>L2_HalfPunc_CN</ability>
      <abilityName>全半角问题</abilityName>
      <candidateList>
        <item>）</item>
      </candidateList>
      <explain>文本全半角错误。</explain>
      <paraID>5564FCB1</paraID>
      <start>36</start>
      <end>37</end>
      <status>unmodified</status>
      <modifiedWord/>
      <trackRevisions>false</trackRevisions>
    </reviewItem>
    <reviewItem>
      <errorID>11a30a00-97f4-4268-8508-f3f2926563ec</errorID>
      <errorWord>(</errorWord>
      <group>L1_Format</group>
      <groupName>格式问题</groupName>
      <ability>L2_HalfPunc_CN</ability>
      <abilityName>全半角问题</abilityName>
      <candidateList>
        <item>（</item>
      </candidateList>
      <explain>文本全半角错误。</explain>
      <paraID>5564FCB1</paraID>
      <start>44</start>
      <end>45</end>
      <status>unmodified</status>
      <modifiedWord/>
      <trackRevisions>false</trackRevisions>
    </reviewItem>
    <reviewItem>
      <errorID>92d6e1a7-fa98-4b4b-8e2e-c9d0d908fd85</errorID>
      <errorWord>)</errorWord>
      <group>L1_Format</group>
      <groupName>格式问题</groupName>
      <ability>L2_HalfPunc_CN</ability>
      <abilityName>全半角问题</abilityName>
      <candidateList>
        <item>）</item>
      </candidateList>
      <explain>文本全半角错误。</explain>
      <paraID>5564FCB1</paraID>
      <start>52</start>
      <end>53</end>
      <status>unmodified</status>
      <modifiedWord/>
      <trackRevisions>false</trackRevisions>
    </reviewItem>
    <reviewItem>
      <errorID>eb74cb69-6c59-4846-8912-73f5a7af821a</errorID>
      <errorWord>(</errorWord>
      <group>L1_Format</group>
      <groupName>格式问题</groupName>
      <ability>L2_HalfPunc_CN</ability>
      <abilityName>全半角问题</abilityName>
      <candidateList>
        <item>（</item>
      </candidateList>
      <explain>文本全半角错误。</explain>
      <paraID>5564FCB1</paraID>
      <start>57</start>
      <end>58</end>
      <status>unmodified</status>
      <modifiedWord/>
      <trackRevisions>false</trackRevisions>
    </reviewItem>
    <reviewItem>
      <errorID>d69e20aa-4399-43ab-847f-ef199b4eb9f5</errorID>
      <errorWord>)</errorWord>
      <group>L1_Format</group>
      <groupName>格式问题</groupName>
      <ability>L2_HalfPunc_CN</ability>
      <abilityName>全半角问题</abilityName>
      <candidateList>
        <item>）</item>
      </candidateList>
      <explain>文本全半角错误。</explain>
      <paraID>5564FCB1</paraID>
      <start>70</start>
      <end>71</end>
      <status>unmodified</status>
      <modifiedWord/>
      <trackRevisions>false</trackRevisions>
    </reviewItem>
    <reviewItem>
      <errorID>d254bdcd-c89c-49e9-9e42-6226e30f29ce</errorID>
      <errorWord>(</errorWord>
      <group>L1_Format</group>
      <groupName>格式问题</groupName>
      <ability>L2_HalfPunc_CN</ability>
      <abilityName>全半角问题</abilityName>
      <candidateList>
        <item>（</item>
      </candidateList>
      <explain>文本全半角错误。</explain>
      <paraID>5564FCB1</paraID>
      <start>76</start>
      <end>77</end>
      <status>unmodified</status>
      <modifiedWord/>
      <trackRevisions>false</trackRevisions>
    </reviewItem>
    <reviewItem>
      <errorID>c6e4dccb-96f3-44e2-a695-2c63b5727faf</errorID>
      <errorWord>)</errorWord>
      <group>L1_Format</group>
      <groupName>格式问题</groupName>
      <ability>L2_HalfPunc_CN</ability>
      <abilityName>全半角问题</abilityName>
      <candidateList>
        <item>）</item>
      </candidateList>
      <explain>文本全半角错误。</explain>
      <paraID>5564FCB1</paraID>
      <start>96</start>
      <end>97</end>
      <status>unmodified</status>
      <modifiedWord/>
      <trackRevisions>false</trackRevisions>
    </reviewItem>
    <reviewItem>
      <errorID>60ed27f5-fea5-45da-a8b3-53d877b3571a</errorID>
      <errorWord>(</errorWord>
      <group>L1_Format</group>
      <groupName>格式问题</groupName>
      <ability>L2_HalfPunc_CN</ability>
      <abilityName>全半角问题</abilityName>
      <candidateList>
        <item>（</item>
      </candidateList>
      <explain>文本全半角错误。</explain>
      <paraID>5564FCB1</paraID>
      <start>145</start>
      <end>146</end>
      <status>unmodified</status>
      <modifiedWord/>
      <trackRevisions>false</trackRevisions>
    </reviewItem>
    <reviewItem>
      <errorID>fa554e51-a057-4206-8464-419bfbcf79cb</errorID>
      <errorWord>)</errorWord>
      <group>L1_Format</group>
      <groupName>格式问题</groupName>
      <ability>L2_HalfPunc_CN</ability>
      <abilityName>全半角问题</abilityName>
      <candidateList>
        <item>）</item>
      </candidateList>
      <explain>文本全半角错误。</explain>
      <paraID>5564FCB1</paraID>
      <start>155</start>
      <end>156</end>
      <status>unmodified</status>
      <modifiedWord/>
      <trackRevisions>false</trackRevisions>
    </reviewItem>
    <reviewItem>
      <errorID>ab041fbe-46ef-481c-b3cb-0bce7ce6eea2</errorID>
      <errorWord>电梯、自动消防系统</errorWord>
      <group>L1_Grammar</group>
      <groupName>语法问题</groupName>
      <ability>L2_Order</ability>
      <abilityName>语序不当</abilityName>
      <candidateList>
        <item>自动消防系统、电梯</item>
      </candidateList>
      <explain>句子可能没有遵循时空、逻辑顺序，或者介词、关联词等位置不当。</explain>
      <paraID>4EF7BDBD</paraID>
      <start>14</start>
      <end>23</end>
      <status>unmodified</status>
      <modifiedWord/>
      <trackRevisions>false</trackRevisions>
    </reviewItem>
    <reviewItem>
      <errorID>8350a47e-490a-4981-9494-42305abf2892</errorID>
      <errorWord>,</errorWord>
      <group>L1_Format</group>
      <groupName>格式问题</groupName>
      <ability>L2_HalfPunc_CN</ability>
      <abilityName>全半角问题</abilityName>
      <candidateList>
        <item>，</item>
      </candidateList>
      <explain>文本全半角错误。</explain>
      <paraID>4B6B3CFC</paraID>
      <start>35</start>
      <end>36</end>
      <status>unmodified</status>
      <modifiedWord/>
      <trackRevisions>false</trackRevisions>
    </reviewItem>
    <reviewItem>
      <errorID>d3ae4f86-7841-420a-a436-6310392402c1</errorID>
      <errorWord>处于</errorWord>
      <group>L1_Word</group>
      <groupName>字词问题</groupName>
      <ability>L2_Typo</ability>
      <abilityName>字词错误</abilityName>
      <candidateList>
        <item>出于</item>
      </candidateList>
      <explain/>
      <paraID>6CEB2B63</paraID>
      <start>72</start>
      <end>74</end>
      <status>unmodified</status>
      <modifiedWord/>
      <trackRevisions>false</trackRevisions>
    </reviewItem>
    <reviewItem>
      <errorID>88187811-f45f-451e-a0d2-a8331ffb16d9</errorID>
      <errorWord>日至2026年</errorWord>
      <group>L1_Word</group>
      <groupName>字词问题</groupName>
      <ability>L2_Typo</ability>
      <abilityName>字词错误</abilityName>
      <candidateList>
        <item>日起至2026年</item>
      </candidateList>
      <explain/>
      <paraID>3FC0E21D</paraID>
      <start>21</start>
      <end>28</end>
      <status>unmodified</status>
      <modifiedWord/>
      <trackRevisions>false</trackRevisions>
    </reviewItem>
    <reviewItem>
      <errorID>6514cedf-593b-4799-9e0d-4714a582b32f</errorID>
      <errorWord>(</errorWord>
      <group>L1_Format</group>
      <groupName>格式问题</groupName>
      <ability>L2_HalfPunc_CN</ability>
      <abilityName>全半角问题</abilityName>
      <candidateList>
        <item>（</item>
      </candidateList>
      <explain>文本全半角错误。</explain>
      <paraID>195719F8</paraID>
      <start>16</start>
      <end>17</end>
      <status>unmodified</status>
      <modifiedWord/>
      <trackRevisions>false</trackRevisions>
    </reviewItem>
    <reviewItem>
      <errorID>4e3a3c9e-824b-4717-8a1b-652237215bb6</errorID>
      <errorWord>)</errorWord>
      <group>L1_Format</group>
      <groupName>格式问题</groupName>
      <ability>L2_HalfPunc_CN</ability>
      <abilityName>全半角问题</abilityName>
      <candidateList>
        <item>）</item>
      </candidateList>
      <explain>文本全半角错误。</explain>
      <paraID>195719F8</paraID>
      <start>24</start>
      <end>25</end>
      <status>unmodified</status>
      <modifiedWord/>
      <trackRevisions>false</trackRevisions>
    </reviewItem>
    <reviewItem>
      <errorID>9c395832-0d28-4477-9471-02d5d67d2e30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1743B356</paraID>
      <start>58</start>
      <end>59</end>
      <status>unmodified</status>
      <modifiedWord/>
      <trackRevisions>false</trackRevisions>
    </reviewItem>
    <reviewItem>
      <errorID>a810b009-4a9d-4bdf-a5ec-29b9c33b0f42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134AF273</paraID>
      <start>39</start>
      <end>40</end>
      <status>unmodified</status>
      <modifiedWord/>
      <trackRevisions>false</trackRevisions>
    </reviewItem>
    <reviewItem>
      <errorID>9118d167-bb0d-426f-a0c5-8a8191f46cfd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344AD806</paraID>
      <start>28</start>
      <end>29</end>
      <status>unmodified</status>
      <modifiedWord/>
      <trackRevisions>false</trackRevisions>
    </reviewItem>
    <reviewItem>
      <errorID>f6f0a670-8b2c-48bc-816f-8f184cfef053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4DB70CD7</paraID>
      <start>55</start>
      <end>56</end>
      <status>unmodified</status>
      <modifiedWord/>
      <trackRevisions>false</trackRevisions>
    </reviewItem>
    <reviewItem>
      <errorID>50387144-f697-4c91-b263-bbd2c601d4f0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1876EFF6</paraID>
      <start>57</start>
      <end>58</end>
      <status>unmodified</status>
      <modifiedWord/>
      <trackRevisions>false</trackRevisions>
    </reviewItem>
    <reviewItem>
      <errorID>b2685804-8b86-491a-b380-bcb725ca1c7e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7F85316B</paraID>
      <start>50</start>
      <end>51</end>
      <status>unmodified</status>
      <modifiedWord/>
      <trackRevisions>false</trackRevisions>
    </reviewItem>
    <reviewItem>
      <errorID>7dfd6721-affb-42cf-af52-8d65d8495ce0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54A5C596</paraID>
      <start>63</start>
      <end>64</end>
      <status>unmodified</status>
      <modifiedWord/>
      <trackRevisions>false</trackRevisions>
    </reviewItem>
    <reviewItem>
      <errorID>11170a41-f6c3-4053-88ea-89655ee2c5f6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361575C1</paraID>
      <start>67</start>
      <end>68</end>
      <status>unmodified</status>
      <modifiedWord/>
      <trackRevisions>false</trackRevisions>
    </reviewItem>
    <reviewItem>
      <errorID>202bdaee-e9df-4220-b22d-2fbe1fa39142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31B1D581</paraID>
      <start>48</start>
      <end>49</end>
      <status>unmodified</status>
      <modifiedWord/>
      <trackRevisions>false</trackRevisions>
    </reviewItem>
    <reviewItem>
      <errorID>b9805094-7768-4861-9ce2-f33f414d4822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3F480689</paraID>
      <start>44</start>
      <end>45</end>
      <status>unmodified</status>
      <modifiedWord/>
      <trackRevisions>false</trackRevisions>
    </reviewItem>
    <reviewItem>
      <errorID>3e3ff27c-ae8e-4f77-9eff-e8b231f5c3de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681781BE</paraID>
      <start>41</start>
      <end>42</end>
      <status>unmodified</status>
      <modifiedWord/>
      <trackRevisions>false</trackRevisions>
    </reviewItem>
    <reviewItem>
      <errorID>a704a507-8038-4c61-8e4c-c041ad88ec04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302C4D52</paraID>
      <start>65</start>
      <end>66</end>
      <status>unmodified</status>
      <modifiedWord/>
      <trackRevisions>false</trackRevisions>
    </reviewItem>
    <reviewItem>
      <errorID>0c8fb881-db63-47a7-a405-7401fb9ef161</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BF64397</paraID>
      <start>55</start>
      <end>56</end>
      <status>unmodified</status>
      <modifiedWord/>
      <trackRevisions>false</trackRevisions>
    </reviewItem>
    <reviewItem>
      <errorID>099c5024-d55f-4772-b39d-a6d3fd229ce5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2BE4DE08</paraID>
      <start>46</start>
      <end>47</end>
      <status>unmodified</status>
      <modifiedWord/>
      <trackRevisions>false</trackRevisions>
    </reviewItem>
    <reviewItem>
      <errorID>773984c9-511f-4fcf-bbeb-86de22d18c20</errorID>
      <errorWord>(</errorWord>
      <group>L1_Format</group>
      <groupName>格式问题</groupName>
      <ability>L2_HalfPunc_CN</ability>
      <abilityName>全半角问题</abilityName>
      <candidateList>
        <item>（</item>
      </candidateList>
      <explain>文本全半角错误。</explain>
      <paraID>37637B5E</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4f8331-b5e6-4d27-a93b-3ba47d97527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3115</Words>
  <Characters>3310</Characters>
  <Lines>25</Lines>
  <Paragraphs>7</Paragraphs>
  <TotalTime>13</TotalTime>
  <ScaleCrop>false</ScaleCrop>
  <LinksUpToDate>false</LinksUpToDate>
  <CharactersWithSpaces>3311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2020-09-03T03:20:00Z</dcterms:created>
  <dc:creator>lenovo</dc:creator>
  <cp:lastModifiedBy>WPS_1474425476</cp:lastModifiedBy>
  <cp:lastPrinted>2017-08-03T07:39:00Z</cp:lastPrinted>
  <dcterms:modified xsi:type="dcterms:W3CDTF">2026-07-10T02:32:37Z</dcterms:modified>
  <dc:title>昆明城市污水处理运营有限责任公司2014年更新改造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741A7AF1F0B3414481117F67D9C78263_13</vt:lpwstr>
  </property>
  <property fmtid="{D5CDD505-2E9C-101B-9397-08002B2CF9AE}" pid="4" name="KSOTemplateDocerSaveRecord">
    <vt:lpwstr>eyJoZGlkIjoiYjNkYzlmNmQ5NThhMjJhOWUwNDM3ZjA4YmFiMTRiMWUiLCJ1c2VySWQiOiIyNDEzNjgyNDMifQ==</vt:lpwstr>
  </property>
</Properties>
</file>