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E2B5AF">
      <w:pPr>
        <w:keepNext w:val="0"/>
        <w:keepLines w:val="0"/>
        <w:pageBreakBefore w:val="0"/>
        <w:widowControl w:val="0"/>
        <w:kinsoku/>
        <w:wordWrap/>
        <w:overflowPunct/>
        <w:topLinePunct w:val="0"/>
        <w:autoSpaceDE/>
        <w:autoSpaceDN/>
        <w:bidi w:val="0"/>
        <w:adjustRightInd w:val="0"/>
        <w:snapToGrid w:val="0"/>
        <w:spacing w:line="620" w:lineRule="exact"/>
        <w:jc w:val="center"/>
        <w:textAlignment w:val="auto"/>
        <w:rPr>
          <w:rFonts w:hint="eastAsia" w:ascii="方正小标宋简体" w:hAnsi="方正小标宋简体" w:eastAsia="方正小标宋简体" w:cs="方正小标宋简体"/>
          <w:color w:val="000000"/>
          <w:sz w:val="44"/>
          <w:szCs w:val="44"/>
          <w:u w:val="none"/>
        </w:rPr>
      </w:pPr>
      <w:r>
        <w:rPr>
          <w:rFonts w:hint="eastAsia" w:ascii="方正小标宋简体" w:hAnsi="方正小标宋简体" w:eastAsia="方正小标宋简体" w:cs="方正小标宋简体"/>
          <w:color w:val="000000"/>
          <w:sz w:val="44"/>
          <w:szCs w:val="44"/>
          <w:u w:val="none"/>
        </w:rPr>
        <w:t>昆明城市污水处理运营有限责任公司</w:t>
      </w:r>
    </w:p>
    <w:p w14:paraId="320EABC8">
      <w:pPr>
        <w:keepNext w:val="0"/>
        <w:keepLines w:val="0"/>
        <w:pageBreakBefore w:val="0"/>
        <w:widowControl w:val="0"/>
        <w:kinsoku/>
        <w:wordWrap/>
        <w:overflowPunct/>
        <w:topLinePunct w:val="0"/>
        <w:autoSpaceDE/>
        <w:autoSpaceDN/>
        <w:bidi w:val="0"/>
        <w:spacing w:line="620" w:lineRule="exact"/>
        <w:jc w:val="center"/>
        <w:textAlignment w:val="auto"/>
        <w:rPr>
          <w:rFonts w:hint="eastAsia" w:ascii="方正小标宋简体" w:hAnsi="方正小标宋简体" w:eastAsia="方正小标宋简体" w:cs="方正小标宋简体"/>
          <w:color w:val="000000"/>
          <w:sz w:val="44"/>
          <w:szCs w:val="44"/>
          <w:u w:val="none"/>
        </w:rPr>
      </w:pPr>
      <w:r>
        <w:rPr>
          <w:rFonts w:hint="eastAsia" w:ascii="方正小标宋简体" w:hAnsi="方正小标宋简体" w:eastAsia="方正小标宋简体" w:cs="方正小标宋简体"/>
          <w:sz w:val="44"/>
          <w:szCs w:val="44"/>
          <w:u w:val="none"/>
        </w:rPr>
        <w:t>昆明市第十五水质净化厂垃圾清运服务单位选聘</w:t>
      </w:r>
      <w:r>
        <w:rPr>
          <w:rFonts w:hint="eastAsia" w:ascii="方正小标宋简体" w:hAnsi="方正小标宋简体" w:eastAsia="方正小标宋简体" w:cs="方正小标宋简体"/>
          <w:color w:val="000000"/>
          <w:sz w:val="44"/>
          <w:szCs w:val="44"/>
          <w:u w:val="none"/>
        </w:rPr>
        <w:t>项目询价比选公告</w:t>
      </w:r>
    </w:p>
    <w:p w14:paraId="3D325315">
      <w:pPr>
        <w:tabs>
          <w:tab w:val="left" w:pos="540"/>
        </w:tabs>
        <w:adjustRightInd w:val="0"/>
        <w:snapToGrid w:val="0"/>
        <w:spacing w:line="360" w:lineRule="auto"/>
        <w:ind w:firstLine="482" w:firstLineChars="200"/>
        <w:rPr>
          <w:rFonts w:ascii="宋体" w:hAnsi="宋体" w:cs="宋体"/>
          <w:b/>
          <w:sz w:val="24"/>
        </w:rPr>
      </w:pPr>
    </w:p>
    <w:p w14:paraId="1F6504E7">
      <w:pPr>
        <w:keepNext w:val="0"/>
        <w:keepLines w:val="0"/>
        <w:pageBreakBefore w:val="0"/>
        <w:widowControl w:val="0"/>
        <w:tabs>
          <w:tab w:val="left" w:pos="540"/>
        </w:tabs>
        <w:kinsoku/>
        <w:wordWrap/>
        <w:overflowPunct/>
        <w:topLinePunct w:val="0"/>
        <w:autoSpaceDE/>
        <w:autoSpaceDN/>
        <w:bidi w:val="0"/>
        <w:adjustRightInd w:val="0"/>
        <w:snapToGrid w:val="0"/>
        <w:spacing w:line="520" w:lineRule="exact"/>
        <w:ind w:firstLine="640" w:firstLineChars="200"/>
        <w:textAlignment w:val="auto"/>
        <w:rPr>
          <w:rFonts w:ascii="黑体" w:hAnsi="黑体" w:eastAsia="黑体" w:cs="黑体"/>
          <w:bCs/>
          <w:sz w:val="32"/>
          <w:szCs w:val="32"/>
        </w:rPr>
      </w:pPr>
      <w:r>
        <w:rPr>
          <w:rFonts w:hint="eastAsia" w:ascii="黑体" w:hAnsi="黑体" w:eastAsia="黑体" w:cs="黑体"/>
          <w:bCs/>
          <w:sz w:val="32"/>
          <w:szCs w:val="32"/>
        </w:rPr>
        <w:t>1.项目概况</w:t>
      </w:r>
    </w:p>
    <w:p w14:paraId="4A49B44C">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bCs/>
          <w:sz w:val="32"/>
          <w:szCs w:val="32"/>
          <w:u w:val="none"/>
          <w:lang w:eastAsia="zh-CN"/>
        </w:rPr>
      </w:pPr>
      <w:r>
        <w:rPr>
          <w:rFonts w:hint="eastAsia" w:ascii="仿宋_GB2312" w:hAnsi="仿宋_GB2312" w:eastAsia="仿宋_GB2312" w:cs="仿宋_GB2312"/>
          <w:bCs/>
          <w:sz w:val="32"/>
          <w:szCs w:val="32"/>
          <w:u w:val="none"/>
        </w:rPr>
        <w:t>1.1比选项目名称：昆明城市污水处理运营有限责任公司</w:t>
      </w:r>
      <w:r>
        <w:rPr>
          <w:rFonts w:hint="eastAsia" w:ascii="仿宋_GB2312" w:hAnsi="仿宋_GB2312" w:eastAsia="仿宋_GB2312" w:cs="仿宋_GB2312"/>
          <w:sz w:val="32"/>
          <w:szCs w:val="32"/>
          <w:u w:val="none"/>
        </w:rPr>
        <w:t>昆明市第十五水质净化厂垃圾清运服务单位选聘</w:t>
      </w:r>
      <w:r>
        <w:rPr>
          <w:rFonts w:hint="eastAsia" w:ascii="仿宋_GB2312" w:hAnsi="仿宋_GB2312" w:eastAsia="仿宋_GB2312" w:cs="仿宋_GB2312"/>
          <w:bCs/>
          <w:sz w:val="32"/>
          <w:szCs w:val="32"/>
          <w:u w:val="none"/>
        </w:rPr>
        <w:t>项目</w:t>
      </w:r>
      <w:r>
        <w:rPr>
          <w:rFonts w:hint="eastAsia" w:ascii="仿宋_GB2312" w:hAnsi="仿宋_GB2312" w:eastAsia="仿宋_GB2312" w:cs="仿宋_GB2312"/>
          <w:bCs/>
          <w:sz w:val="32"/>
          <w:szCs w:val="32"/>
          <w:u w:val="none"/>
          <w:lang w:eastAsia="zh-CN"/>
        </w:rPr>
        <w:t>。</w:t>
      </w:r>
    </w:p>
    <w:p w14:paraId="51593A98">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bCs/>
          <w:sz w:val="32"/>
          <w:szCs w:val="32"/>
          <w:u w:val="none"/>
          <w:lang w:eastAsia="zh-CN"/>
        </w:rPr>
      </w:pPr>
      <w:r>
        <w:rPr>
          <w:rFonts w:hint="eastAsia" w:ascii="仿宋_GB2312" w:hAnsi="仿宋_GB2312" w:eastAsia="仿宋_GB2312" w:cs="仿宋_GB2312"/>
          <w:bCs/>
          <w:sz w:val="32"/>
          <w:szCs w:val="32"/>
          <w:u w:val="none"/>
        </w:rPr>
        <w:t>1.2比选单位全称：昆明城市污水处理运营有限责任公司</w:t>
      </w:r>
      <w:r>
        <w:rPr>
          <w:rFonts w:hint="eastAsia" w:ascii="仿宋_GB2312" w:hAnsi="仿宋_GB2312" w:eastAsia="仿宋_GB2312" w:cs="仿宋_GB2312"/>
          <w:bCs/>
          <w:sz w:val="32"/>
          <w:szCs w:val="32"/>
          <w:u w:val="none"/>
          <w:lang w:eastAsia="zh-CN"/>
        </w:rPr>
        <w:t>。</w:t>
      </w:r>
    </w:p>
    <w:p w14:paraId="0D8A1965">
      <w:pPr>
        <w:keepNext w:val="0"/>
        <w:keepLines w:val="0"/>
        <w:pageBreakBefore w:val="0"/>
        <w:widowControl w:val="0"/>
        <w:kinsoku/>
        <w:wordWrap/>
        <w:overflowPunct/>
        <w:topLinePunct w:val="0"/>
        <w:autoSpaceDE/>
        <w:autoSpaceDN/>
        <w:bidi w:val="0"/>
        <w:spacing w:line="580" w:lineRule="exact"/>
        <w:ind w:firstLine="640" w:firstLineChars="200"/>
        <w:textAlignment w:val="auto"/>
        <w:outlineLvl w:val="0"/>
        <w:rPr>
          <w:rFonts w:hint="eastAsia" w:ascii="仿宋_GB2312" w:hAnsi="仿宋_GB2312" w:eastAsia="仿宋_GB2312" w:cs="仿宋_GB2312"/>
          <w:bCs/>
          <w:sz w:val="32"/>
          <w:szCs w:val="32"/>
          <w:u w:val="none"/>
          <w:lang w:eastAsia="zh-CN"/>
        </w:rPr>
      </w:pPr>
      <w:r>
        <w:rPr>
          <w:rFonts w:hint="eastAsia" w:ascii="仿宋_GB2312" w:hAnsi="仿宋_GB2312" w:eastAsia="仿宋_GB2312" w:cs="仿宋_GB2312"/>
          <w:bCs/>
          <w:sz w:val="32"/>
          <w:szCs w:val="32"/>
          <w:u w:val="none"/>
        </w:rPr>
        <w:t>1.3合作期限：</w:t>
      </w:r>
      <w:r>
        <w:rPr>
          <w:rFonts w:hint="eastAsia" w:ascii="仿宋_GB2312" w:hAnsi="仿宋_GB2312" w:eastAsia="仿宋_GB2312" w:cs="仿宋_GB2312"/>
          <w:sz w:val="32"/>
          <w:szCs w:val="32"/>
          <w:u w:val="none"/>
        </w:rPr>
        <w:t>合同签订之日起至2026年12月31日</w:t>
      </w:r>
      <w:r>
        <w:rPr>
          <w:rFonts w:hint="eastAsia" w:ascii="仿宋_GB2312" w:hAnsi="仿宋_GB2312" w:eastAsia="仿宋_GB2312" w:cs="仿宋_GB2312"/>
          <w:bCs/>
          <w:sz w:val="32"/>
          <w:szCs w:val="32"/>
          <w:u w:val="none"/>
          <w:lang w:eastAsia="zh-CN"/>
        </w:rPr>
        <w:t>。</w:t>
      </w:r>
    </w:p>
    <w:p w14:paraId="21F0B2D5">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bCs/>
          <w:sz w:val="32"/>
          <w:szCs w:val="32"/>
          <w:u w:val="none"/>
        </w:rPr>
      </w:pPr>
      <w:r>
        <w:rPr>
          <w:rFonts w:hint="eastAsia" w:ascii="仿宋_GB2312" w:hAnsi="仿宋_GB2312" w:eastAsia="仿宋_GB2312" w:cs="仿宋_GB2312"/>
          <w:bCs/>
          <w:sz w:val="32"/>
          <w:szCs w:val="32"/>
          <w:u w:val="none"/>
        </w:rPr>
        <w:t>1.4项目内容：</w:t>
      </w:r>
      <w:r>
        <w:rPr>
          <w:rFonts w:hint="eastAsia" w:ascii="仿宋_GB2312" w:hAnsi="仿宋_GB2312" w:eastAsia="仿宋_GB2312" w:cs="仿宋_GB2312"/>
          <w:sz w:val="32"/>
          <w:szCs w:val="32"/>
          <w:u w:val="none"/>
        </w:rPr>
        <w:t>完成昆明市第十五水质净化厂垃圾清运服务，包括但不限于生活垃圾、栅渣、浮渣、沉砂等，垃圾清运所需的人工、运输工具、机械设备等均由服务单位提供，包含昆明市第十五水质净化厂垃圾清运服务项目的全部服务内容</w:t>
      </w:r>
      <w:r>
        <w:rPr>
          <w:rFonts w:hint="eastAsia" w:ascii="仿宋_GB2312" w:hAnsi="仿宋_GB2312" w:eastAsia="仿宋_GB2312" w:cs="仿宋_GB2312"/>
          <w:bCs/>
          <w:sz w:val="32"/>
          <w:szCs w:val="32"/>
          <w:u w:val="none"/>
          <w:lang w:val="en-US" w:eastAsia="zh-CN"/>
        </w:rPr>
        <w:t>。</w:t>
      </w:r>
    </w:p>
    <w:p w14:paraId="6A607907">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bCs/>
          <w:sz w:val="32"/>
          <w:szCs w:val="32"/>
          <w:u w:val="none"/>
        </w:rPr>
      </w:pPr>
      <w:r>
        <w:rPr>
          <w:rFonts w:hint="eastAsia" w:ascii="仿宋_GB2312" w:hAnsi="仿宋_GB2312" w:eastAsia="仿宋_GB2312" w:cs="仿宋_GB2312"/>
          <w:bCs/>
          <w:sz w:val="32"/>
          <w:szCs w:val="32"/>
          <w:u w:val="none"/>
        </w:rPr>
        <w:t>1.5预算金额：预算不高于</w:t>
      </w:r>
      <w:r>
        <w:rPr>
          <w:rFonts w:hint="eastAsia" w:ascii="仿宋_GB2312" w:hAnsi="仿宋_GB2312" w:eastAsia="仿宋_GB2312" w:cs="仿宋_GB2312"/>
          <w:sz w:val="32"/>
          <w:szCs w:val="32"/>
          <w:u w:val="none"/>
        </w:rPr>
        <w:t>82000.00</w:t>
      </w:r>
      <w:r>
        <w:rPr>
          <w:rFonts w:hint="eastAsia" w:ascii="仿宋_GB2312" w:hAnsi="仿宋_GB2312" w:eastAsia="仿宋_GB2312" w:cs="仿宋_GB2312"/>
          <w:bCs/>
          <w:sz w:val="32"/>
          <w:szCs w:val="32"/>
          <w:u w:val="none"/>
        </w:rPr>
        <w:t>元。</w:t>
      </w:r>
    </w:p>
    <w:p w14:paraId="63588EE7">
      <w:pPr>
        <w:keepNext w:val="0"/>
        <w:keepLines w:val="0"/>
        <w:pageBreakBefore w:val="0"/>
        <w:widowControl w:val="0"/>
        <w:tabs>
          <w:tab w:val="left" w:pos="540"/>
        </w:tabs>
        <w:kinsoku/>
        <w:wordWrap/>
        <w:overflowPunct/>
        <w:topLinePunct w:val="0"/>
        <w:autoSpaceDE/>
        <w:autoSpaceDN/>
        <w:bidi w:val="0"/>
        <w:adjustRightInd w:val="0"/>
        <w:snapToGrid w:val="0"/>
        <w:spacing w:line="520" w:lineRule="exact"/>
        <w:ind w:firstLine="640" w:firstLineChars="200"/>
        <w:textAlignment w:val="auto"/>
        <w:rPr>
          <w:rFonts w:ascii="黑体" w:hAnsi="黑体" w:eastAsia="黑体" w:cs="黑体"/>
          <w:bCs/>
          <w:sz w:val="32"/>
          <w:szCs w:val="32"/>
        </w:rPr>
      </w:pPr>
      <w:r>
        <w:rPr>
          <w:rFonts w:hint="eastAsia" w:ascii="黑体" w:hAnsi="黑体" w:eastAsia="黑体" w:cs="黑体"/>
          <w:bCs/>
          <w:sz w:val="32"/>
          <w:szCs w:val="32"/>
        </w:rPr>
        <w:t>2.资格要求</w:t>
      </w:r>
    </w:p>
    <w:p w14:paraId="17A5D84B">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rPr>
        <w:t>2.1营业执照</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sz w:val="32"/>
          <w:szCs w:val="32"/>
        </w:rPr>
        <w:t>谈判申请人须为依法登记注册的企业（事业）法人或其他组织，具有有效的营业执照或其他类似的法定证明文件（提供证书复印件并加盖公章）</w:t>
      </w:r>
      <w:r>
        <w:rPr>
          <w:rFonts w:hint="eastAsia" w:ascii="仿宋_GB2312" w:hAnsi="仿宋_GB2312" w:eastAsia="仿宋_GB2312" w:cs="仿宋_GB2312"/>
          <w:bCs/>
          <w:sz w:val="32"/>
          <w:szCs w:val="32"/>
          <w:lang w:val="en-US" w:eastAsia="zh-CN"/>
        </w:rPr>
        <w:t>。</w:t>
      </w:r>
    </w:p>
    <w:p w14:paraId="604B6D1A">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rPr>
        <w:t>2.2资质要求：</w:t>
      </w:r>
      <w:r>
        <w:rPr>
          <w:rFonts w:hint="eastAsia" w:ascii="仿宋_GB2312" w:hAnsi="仿宋_GB2312" w:eastAsia="仿宋_GB2312" w:cs="仿宋_GB2312"/>
          <w:color w:val="000000"/>
          <w:sz w:val="32"/>
          <w:szCs w:val="32"/>
        </w:rPr>
        <w:t>投标人应当具备城市生活垃圾经营性服务清扫、收集、运输服务许可证（复印件加盖公章）</w:t>
      </w:r>
      <w:r>
        <w:rPr>
          <w:rFonts w:hint="eastAsia" w:ascii="仿宋_GB2312" w:hAnsi="仿宋_GB2312" w:eastAsia="仿宋_GB2312" w:cs="仿宋_GB2312"/>
          <w:bCs/>
          <w:sz w:val="32"/>
          <w:szCs w:val="32"/>
          <w:lang w:val="en-US" w:eastAsia="zh-CN"/>
        </w:rPr>
        <w:t>。</w:t>
      </w:r>
    </w:p>
    <w:p w14:paraId="585B0426">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color w:val="000000"/>
          <w:sz w:val="32"/>
          <w:szCs w:val="32"/>
        </w:rPr>
        <w:t>2</w:t>
      </w:r>
      <w:r>
        <w:rPr>
          <w:rFonts w:hint="eastAsia" w:ascii="仿宋_GB2312" w:hAnsi="仿宋_GB2312" w:eastAsia="仿宋_GB2312" w:cs="仿宋_GB2312"/>
          <w:bCs/>
          <w:color w:val="000000"/>
          <w:sz w:val="32"/>
          <w:szCs w:val="32"/>
          <w:lang w:val="hr-HR"/>
        </w:rPr>
        <w:t>.3</w:t>
      </w:r>
      <w:r>
        <w:rPr>
          <w:rFonts w:hint="eastAsia" w:ascii="仿宋_GB2312" w:hAnsi="仿宋_GB2312" w:eastAsia="仿宋_GB2312" w:cs="仿宋_GB2312"/>
          <w:bCs/>
          <w:sz w:val="32"/>
          <w:szCs w:val="32"/>
        </w:rPr>
        <w:t>信誉要求：</w:t>
      </w:r>
    </w:p>
    <w:p w14:paraId="6CEB2B63">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 xml:space="preserve">2.3.1 </w:t>
      </w:r>
      <w:r>
        <w:rPr>
          <w:rFonts w:hint="eastAsia" w:ascii="仿宋_GB2312" w:hAnsi="仿宋_GB2312" w:eastAsia="仿宋_GB2312" w:cs="仿宋_GB2312"/>
          <w:color w:val="000000"/>
          <w:sz w:val="32"/>
          <w:szCs w:val="32"/>
        </w:rPr>
        <w:t>2023年1月1日至报价文件递交截止时间前，未被项目所在地市场监管部门列入黑名单；报价人在经营活动中没有重大违法记录，报价人没有处于被责令停业，无因企业不良行为记录被项目所在地行政主管部门暂停或取消投标资格，没有被项目所在地政府或国家部委禁止市场准入等情形，提供书面承诺</w:t>
      </w:r>
      <w:r>
        <w:rPr>
          <w:rFonts w:hint="eastAsia" w:ascii="仿宋_GB2312" w:hAnsi="仿宋_GB2312" w:eastAsia="仿宋_GB2312" w:cs="仿宋_GB2312"/>
          <w:bCs/>
          <w:sz w:val="32"/>
          <w:szCs w:val="32"/>
          <w:lang w:eastAsia="zh-CN"/>
        </w:rPr>
        <w:t>。</w:t>
      </w:r>
    </w:p>
    <w:p w14:paraId="2D5EF704">
      <w:pPr>
        <w:pStyle w:val="2"/>
        <w:keepNext w:val="0"/>
        <w:keepLines w:val="0"/>
        <w:pageBreakBefore w:val="0"/>
        <w:widowControl w:val="0"/>
        <w:kinsoku/>
        <w:wordWrap/>
        <w:overflowPunct/>
        <w:topLinePunct w:val="0"/>
        <w:autoSpaceDE/>
        <w:autoSpaceDN/>
        <w:bidi w:val="0"/>
        <w:spacing w:after="0"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Cs/>
          <w:sz w:val="32"/>
          <w:szCs w:val="32"/>
          <w:lang w:val="en-US" w:eastAsia="zh-CN"/>
        </w:rPr>
        <w:t>2.3.2</w:t>
      </w:r>
      <w:r>
        <w:rPr>
          <w:rFonts w:hint="eastAsia" w:ascii="仿宋_GB2312" w:hAnsi="仿宋_GB2312" w:eastAsia="仿宋_GB2312" w:cs="仿宋_GB2312"/>
          <w:color w:val="000000"/>
          <w:sz w:val="32"/>
          <w:szCs w:val="32"/>
        </w:rPr>
        <w:t>提供“信用中国（www.creditchina.gov.cn）”网站查询结果，若报价人“被列为严重失信主体”或“被列为失信被执行人”将否决其报价资格</w:t>
      </w:r>
    </w:p>
    <w:p w14:paraId="6296BDF2">
      <w:pPr>
        <w:keepNext w:val="0"/>
        <w:keepLines w:val="0"/>
        <w:pageBreakBefore w:val="0"/>
        <w:widowControl w:val="0"/>
        <w:tabs>
          <w:tab w:val="left" w:pos="540"/>
        </w:tabs>
        <w:kinsoku/>
        <w:wordWrap/>
        <w:overflowPunct/>
        <w:topLinePunct w:val="0"/>
        <w:autoSpaceDE/>
        <w:autoSpaceDN/>
        <w:bidi w:val="0"/>
        <w:adjustRightInd w:val="0"/>
        <w:snapToGrid w:val="0"/>
        <w:spacing w:line="520" w:lineRule="exact"/>
        <w:ind w:firstLine="640" w:firstLineChars="200"/>
        <w:textAlignment w:val="auto"/>
        <w:rPr>
          <w:rFonts w:ascii="黑体" w:hAnsi="黑体" w:eastAsia="黑体" w:cs="黑体"/>
          <w:bCs/>
          <w:sz w:val="32"/>
          <w:szCs w:val="32"/>
        </w:rPr>
      </w:pPr>
      <w:r>
        <w:rPr>
          <w:rFonts w:hint="eastAsia" w:ascii="黑体" w:hAnsi="黑体" w:eastAsia="黑体" w:cs="黑体"/>
          <w:bCs/>
          <w:sz w:val="32"/>
          <w:szCs w:val="32"/>
        </w:rPr>
        <w:t>3.质量要求</w:t>
      </w:r>
    </w:p>
    <w:p w14:paraId="79530DEF">
      <w:pPr>
        <w:keepNext w:val="0"/>
        <w:keepLines w:val="0"/>
        <w:pageBreakBefore w:val="0"/>
        <w:widowControl w:val="0"/>
        <w:tabs>
          <w:tab w:val="left" w:pos="7590"/>
        </w:tabs>
        <w:kinsoku/>
        <w:wordWrap/>
        <w:overflowPunct/>
        <w:topLinePunct w:val="0"/>
        <w:autoSpaceDE/>
        <w:autoSpaceDN/>
        <w:bidi w:val="0"/>
        <w:spacing w:line="580" w:lineRule="exact"/>
        <w:ind w:firstLine="640" w:firstLineChars="200"/>
        <w:textAlignment w:val="auto"/>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符合国家标准、行业标准及招标人要求，确保作业质量达标和安全生产，并接受省、市、区环境卫生主管部门的检查、监督和考核。</w:t>
      </w:r>
    </w:p>
    <w:p w14:paraId="2DBFB38C">
      <w:pPr>
        <w:keepNext w:val="0"/>
        <w:keepLines w:val="0"/>
        <w:pageBreakBefore w:val="0"/>
        <w:widowControl w:val="0"/>
        <w:tabs>
          <w:tab w:val="left" w:pos="7590"/>
        </w:tabs>
        <w:kinsoku/>
        <w:wordWrap/>
        <w:overflowPunct/>
        <w:topLinePunct w:val="0"/>
        <w:autoSpaceDE/>
        <w:autoSpaceDN/>
        <w:bidi w:val="0"/>
        <w:spacing w:line="520" w:lineRule="exact"/>
        <w:ind w:firstLine="640" w:firstLineChars="200"/>
        <w:textAlignment w:val="auto"/>
        <w:outlineLvl w:val="0"/>
        <w:rPr>
          <w:rFonts w:ascii="黑体" w:hAnsi="黑体" w:eastAsia="黑体" w:cs="黑体"/>
          <w:bCs/>
          <w:sz w:val="32"/>
          <w:szCs w:val="32"/>
        </w:rPr>
      </w:pPr>
      <w:r>
        <w:rPr>
          <w:rFonts w:hint="eastAsia" w:ascii="黑体" w:hAnsi="黑体" w:eastAsia="黑体" w:cs="黑体"/>
          <w:bCs/>
          <w:sz w:val="32"/>
          <w:szCs w:val="32"/>
          <w:lang w:val="en-US" w:eastAsia="zh-CN"/>
        </w:rPr>
        <w:t>4</w:t>
      </w:r>
      <w:r>
        <w:rPr>
          <w:rFonts w:hint="eastAsia" w:ascii="黑体" w:hAnsi="黑体" w:eastAsia="黑体" w:cs="黑体"/>
          <w:bCs/>
          <w:sz w:val="32"/>
          <w:szCs w:val="32"/>
        </w:rPr>
        <w:t>.报价要求</w:t>
      </w:r>
    </w:p>
    <w:p w14:paraId="3B1104A8">
      <w:pPr>
        <w:keepNext w:val="0"/>
        <w:keepLines w:val="0"/>
        <w:pageBreakBefore w:val="0"/>
        <w:widowControl w:val="0"/>
        <w:tabs>
          <w:tab w:val="left" w:pos="7590"/>
        </w:tabs>
        <w:kinsoku/>
        <w:wordWrap/>
        <w:overflowPunct/>
        <w:topLinePunct w:val="0"/>
        <w:autoSpaceDE/>
        <w:autoSpaceDN/>
        <w:bidi w:val="0"/>
        <w:spacing w:line="580" w:lineRule="exact"/>
        <w:ind w:firstLine="640" w:firstLineChars="200"/>
        <w:textAlignment w:val="auto"/>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本项目采用固定单价的方式进行报价，报价为含税价，具体结算按投标人实际清运的量据实结算，投标报价包含为完成本招标文件所规定的全部服务内容所需的所有费用。</w:t>
      </w:r>
    </w:p>
    <w:p w14:paraId="3612BC4A">
      <w:pPr>
        <w:pStyle w:val="2"/>
        <w:keepNext w:val="0"/>
        <w:keepLines w:val="0"/>
        <w:pageBreakBefore w:val="0"/>
        <w:widowControl w:val="0"/>
        <w:kinsoku/>
        <w:wordWrap/>
        <w:overflowPunct/>
        <w:topLinePunct w:val="0"/>
        <w:autoSpaceDE/>
        <w:autoSpaceDN/>
        <w:bidi w:val="0"/>
        <w:spacing w:after="0" w:line="520" w:lineRule="exact"/>
        <w:ind w:firstLine="640" w:firstLineChars="200"/>
        <w:textAlignment w:val="auto"/>
        <w:rPr>
          <w:rFonts w:ascii="仿宋_GB2312" w:hAnsi="仿宋_GB2312" w:eastAsia="仿宋_GB2312" w:cs="仿宋_GB2312"/>
          <w:bCs/>
          <w:color w:val="000000"/>
          <w:sz w:val="32"/>
          <w:szCs w:val="32"/>
        </w:rPr>
      </w:pPr>
      <w:r>
        <w:rPr>
          <w:rFonts w:hint="eastAsia" w:ascii="黑体" w:hAnsi="黑体" w:eastAsia="黑体" w:cs="黑体"/>
          <w:bCs/>
          <w:sz w:val="32"/>
          <w:szCs w:val="32"/>
          <w:lang w:val="en-US" w:eastAsia="zh-CN"/>
        </w:rPr>
        <w:t>5</w:t>
      </w:r>
      <w:r>
        <w:rPr>
          <w:rFonts w:hint="eastAsia" w:ascii="黑体" w:hAnsi="黑体" w:eastAsia="黑体" w:cs="黑体"/>
          <w:bCs/>
          <w:sz w:val="32"/>
          <w:szCs w:val="32"/>
        </w:rPr>
        <w:t>.报价文件费份数及密封要求</w:t>
      </w:r>
    </w:p>
    <w:p w14:paraId="774B5B68">
      <w:pPr>
        <w:pStyle w:val="2"/>
        <w:keepNext w:val="0"/>
        <w:keepLines w:val="0"/>
        <w:pageBreakBefore w:val="0"/>
        <w:widowControl w:val="0"/>
        <w:kinsoku/>
        <w:wordWrap/>
        <w:overflowPunct/>
        <w:topLinePunct w:val="0"/>
        <w:autoSpaceDE/>
        <w:autoSpaceDN/>
        <w:bidi w:val="0"/>
        <w:spacing w:after="0" w:line="58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color w:val="000000"/>
          <w:sz w:val="32"/>
          <w:szCs w:val="32"/>
        </w:rPr>
        <w:t>纸质报价文件一式两份，且按要求在需要盖章的地方加盖鲜章。另外需要提供一份电子扫描的询价申请文件，且需保证电子文件和纸质文件一致。报价文件应密封。</w:t>
      </w:r>
    </w:p>
    <w:p w14:paraId="4EE06C42">
      <w:pPr>
        <w:keepNext w:val="0"/>
        <w:keepLines w:val="0"/>
        <w:pageBreakBefore w:val="0"/>
        <w:widowControl w:val="0"/>
        <w:tabs>
          <w:tab w:val="left" w:pos="7590"/>
        </w:tabs>
        <w:kinsoku/>
        <w:wordWrap/>
        <w:overflowPunct/>
        <w:topLinePunct w:val="0"/>
        <w:autoSpaceDE/>
        <w:autoSpaceDN/>
        <w:bidi w:val="0"/>
        <w:spacing w:line="520" w:lineRule="exact"/>
        <w:ind w:firstLine="640" w:firstLineChars="200"/>
        <w:textAlignment w:val="auto"/>
        <w:outlineLvl w:val="0"/>
        <w:rPr>
          <w:rFonts w:ascii="黑体" w:hAnsi="黑体" w:eastAsia="黑体" w:cs="黑体"/>
          <w:bCs/>
          <w:color w:val="000000"/>
          <w:sz w:val="32"/>
          <w:szCs w:val="32"/>
        </w:rPr>
      </w:pPr>
      <w:r>
        <w:rPr>
          <w:rFonts w:hint="eastAsia" w:ascii="黑体" w:hAnsi="黑体" w:eastAsia="黑体" w:cs="黑体"/>
          <w:bCs/>
          <w:color w:val="000000"/>
          <w:sz w:val="32"/>
          <w:szCs w:val="32"/>
          <w:lang w:val="en-US" w:eastAsia="zh-CN"/>
        </w:rPr>
        <w:t>6</w:t>
      </w:r>
      <w:r>
        <w:rPr>
          <w:rFonts w:hint="eastAsia" w:ascii="黑体" w:hAnsi="黑体" w:eastAsia="黑体" w:cs="黑体"/>
          <w:bCs/>
          <w:color w:val="000000"/>
          <w:sz w:val="32"/>
          <w:szCs w:val="32"/>
        </w:rPr>
        <w:t>.报价文件的组成</w:t>
      </w:r>
    </w:p>
    <w:p w14:paraId="7FBCB978">
      <w:pPr>
        <w:keepNext w:val="0"/>
        <w:keepLines w:val="0"/>
        <w:pageBreakBefore w:val="0"/>
        <w:widowControl w:val="0"/>
        <w:kinsoku/>
        <w:wordWrap/>
        <w:overflowPunct/>
        <w:topLinePunct w:val="0"/>
        <w:autoSpaceDE/>
        <w:autoSpaceDN/>
        <w:bidi w:val="0"/>
        <w:spacing w:line="580" w:lineRule="exact"/>
        <w:ind w:firstLine="640" w:firstLineChars="200"/>
        <w:textAlignment w:val="auto"/>
        <w:outlineLvl w:val="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报价文件由报价表、企业工商营业执照、</w:t>
      </w:r>
      <w:r>
        <w:rPr>
          <w:rFonts w:hint="eastAsia" w:ascii="仿宋_GB2312" w:hAnsi="仿宋_GB2312" w:eastAsia="仿宋_GB2312" w:cs="仿宋_GB2312"/>
          <w:bCs/>
          <w:color w:val="000000"/>
          <w:sz w:val="32"/>
          <w:szCs w:val="32"/>
          <w:lang w:val="en-US" w:eastAsia="zh-CN"/>
        </w:rPr>
        <w:t>类似业绩</w:t>
      </w:r>
      <w:r>
        <w:rPr>
          <w:rFonts w:hint="eastAsia" w:ascii="仿宋_GB2312" w:hAnsi="仿宋_GB2312" w:eastAsia="仿宋_GB2312" w:cs="仿宋_GB2312"/>
          <w:bCs/>
          <w:color w:val="000000"/>
          <w:sz w:val="32"/>
          <w:szCs w:val="32"/>
        </w:rPr>
        <w:t>、相应承诺的有效复印件以及各询价响应人认为应该提供的</w:t>
      </w:r>
      <w:r>
        <w:rPr>
          <w:rFonts w:hint="eastAsia" w:ascii="仿宋_GB2312" w:hAnsi="仿宋_GB2312" w:eastAsia="仿宋_GB2312" w:cs="仿宋_GB2312"/>
          <w:bCs/>
          <w:color w:val="000000"/>
          <w:sz w:val="32"/>
          <w:szCs w:val="32"/>
          <w:lang w:eastAsia="zh-CN"/>
        </w:rPr>
        <w:t>其他</w:t>
      </w:r>
      <w:r>
        <w:rPr>
          <w:rFonts w:hint="eastAsia" w:ascii="仿宋_GB2312" w:hAnsi="仿宋_GB2312" w:eastAsia="仿宋_GB2312" w:cs="仿宋_GB2312"/>
          <w:bCs/>
          <w:color w:val="000000"/>
          <w:sz w:val="32"/>
          <w:szCs w:val="32"/>
        </w:rPr>
        <w:t>相关文件（可参考附件）。</w:t>
      </w:r>
    </w:p>
    <w:p w14:paraId="267ABEDA">
      <w:pPr>
        <w:keepNext w:val="0"/>
        <w:keepLines w:val="0"/>
        <w:pageBreakBefore w:val="0"/>
        <w:widowControl w:val="0"/>
        <w:tabs>
          <w:tab w:val="left" w:pos="7590"/>
        </w:tabs>
        <w:kinsoku/>
        <w:wordWrap/>
        <w:overflowPunct/>
        <w:topLinePunct w:val="0"/>
        <w:autoSpaceDE/>
        <w:autoSpaceDN/>
        <w:bidi w:val="0"/>
        <w:spacing w:line="520" w:lineRule="exact"/>
        <w:ind w:firstLine="640" w:firstLineChars="200"/>
        <w:textAlignment w:val="auto"/>
        <w:outlineLvl w:val="0"/>
        <w:rPr>
          <w:rFonts w:ascii="黑体" w:hAnsi="黑体" w:eastAsia="黑体" w:cs="黑体"/>
          <w:bCs/>
          <w:color w:val="000000"/>
          <w:sz w:val="32"/>
          <w:szCs w:val="32"/>
        </w:rPr>
      </w:pPr>
      <w:r>
        <w:rPr>
          <w:rFonts w:hint="eastAsia" w:ascii="黑体" w:hAnsi="黑体" w:eastAsia="黑体" w:cs="黑体"/>
          <w:bCs/>
          <w:color w:val="000000"/>
          <w:sz w:val="32"/>
          <w:szCs w:val="32"/>
          <w:lang w:val="en-US" w:eastAsia="zh-CN"/>
        </w:rPr>
        <w:t>7</w:t>
      </w:r>
      <w:r>
        <w:rPr>
          <w:rFonts w:hint="eastAsia" w:ascii="黑体" w:hAnsi="黑体" w:eastAsia="黑体" w:cs="黑体"/>
          <w:bCs/>
          <w:color w:val="000000"/>
          <w:sz w:val="32"/>
          <w:szCs w:val="32"/>
        </w:rPr>
        <w:t>.询价比选申请文件获取</w:t>
      </w:r>
    </w:p>
    <w:p w14:paraId="3FC0E21D">
      <w:pPr>
        <w:keepNext w:val="0"/>
        <w:keepLines w:val="0"/>
        <w:pageBreakBefore w:val="0"/>
        <w:widowControl w:val="0"/>
        <w:kinsoku/>
        <w:wordWrap/>
        <w:overflowPunct/>
        <w:topLinePunct w:val="0"/>
        <w:autoSpaceDE/>
        <w:autoSpaceDN/>
        <w:bidi w:val="0"/>
        <w:spacing w:line="580" w:lineRule="exact"/>
        <w:ind w:firstLine="640" w:firstLineChars="200"/>
        <w:textAlignment w:val="auto"/>
        <w:outlineLvl w:val="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凡有意参加的报价人，请于2026年7月31日至2026年</w:t>
      </w:r>
      <w:r>
        <w:rPr>
          <w:rFonts w:hint="eastAsia" w:ascii="仿宋_GB2312" w:hAnsi="仿宋_GB2312" w:eastAsia="仿宋_GB2312" w:cs="仿宋_GB2312"/>
          <w:bCs/>
          <w:color w:val="000000"/>
          <w:sz w:val="32"/>
          <w:szCs w:val="32"/>
          <w:lang w:val="en-US" w:eastAsia="zh-CN"/>
        </w:rPr>
        <w:t>8</w:t>
      </w:r>
      <w:r>
        <w:rPr>
          <w:rFonts w:hint="eastAsia" w:ascii="仿宋_GB2312" w:hAnsi="仿宋_GB2312" w:eastAsia="仿宋_GB2312" w:cs="仿宋_GB2312"/>
          <w:bCs/>
          <w:color w:val="000000"/>
          <w:sz w:val="32"/>
          <w:szCs w:val="32"/>
        </w:rPr>
        <w:t>月</w:t>
      </w:r>
      <w:r>
        <w:rPr>
          <w:rFonts w:hint="eastAsia" w:ascii="仿宋_GB2312" w:hAnsi="仿宋_GB2312" w:eastAsia="仿宋_GB2312" w:cs="仿宋_GB2312"/>
          <w:bCs/>
          <w:color w:val="000000"/>
          <w:sz w:val="32"/>
          <w:szCs w:val="32"/>
          <w:lang w:val="en-US" w:eastAsia="zh-CN"/>
        </w:rPr>
        <w:t>4</w:t>
      </w:r>
      <w:r>
        <w:rPr>
          <w:rFonts w:hint="eastAsia" w:ascii="仿宋_GB2312" w:hAnsi="仿宋_GB2312" w:eastAsia="仿宋_GB2312" w:cs="仿宋_GB2312"/>
          <w:bCs/>
          <w:color w:val="000000"/>
          <w:sz w:val="32"/>
          <w:szCs w:val="32"/>
        </w:rPr>
        <w:t>日，每日09时30分至12时00分，13时30分至17时30分（北京时间，下同），持营业执照（复印件加盖公章）、法定代表人或负责人身份证明书（原件）、授权委托书（原件）及授权委托人身份证（原件）到运营公司领取询价文件。</w:t>
      </w:r>
    </w:p>
    <w:p w14:paraId="5EB6A549">
      <w:pPr>
        <w:keepNext w:val="0"/>
        <w:keepLines w:val="0"/>
        <w:pageBreakBefore w:val="0"/>
        <w:widowControl w:val="0"/>
        <w:tabs>
          <w:tab w:val="left" w:pos="7590"/>
        </w:tabs>
        <w:kinsoku/>
        <w:wordWrap/>
        <w:overflowPunct/>
        <w:topLinePunct w:val="0"/>
        <w:autoSpaceDE/>
        <w:autoSpaceDN/>
        <w:bidi w:val="0"/>
        <w:spacing w:line="520" w:lineRule="exact"/>
        <w:ind w:firstLine="640" w:firstLineChars="200"/>
        <w:textAlignment w:val="auto"/>
        <w:outlineLvl w:val="0"/>
        <w:rPr>
          <w:rFonts w:ascii="黑体" w:hAnsi="黑体" w:eastAsia="黑体" w:cs="黑体"/>
          <w:bCs/>
          <w:color w:val="000000"/>
          <w:sz w:val="32"/>
          <w:szCs w:val="32"/>
        </w:rPr>
      </w:pPr>
      <w:r>
        <w:rPr>
          <w:rFonts w:hint="eastAsia" w:ascii="黑体" w:hAnsi="黑体" w:eastAsia="黑体" w:cs="黑体"/>
          <w:bCs/>
          <w:color w:val="000000"/>
          <w:sz w:val="32"/>
          <w:szCs w:val="32"/>
          <w:lang w:val="en-US" w:eastAsia="zh-CN"/>
        </w:rPr>
        <w:t>8</w:t>
      </w:r>
      <w:r>
        <w:rPr>
          <w:rFonts w:hint="eastAsia" w:ascii="黑体" w:hAnsi="黑体" w:eastAsia="黑体" w:cs="黑体"/>
          <w:bCs/>
          <w:color w:val="000000"/>
          <w:sz w:val="32"/>
          <w:szCs w:val="32"/>
        </w:rPr>
        <w:t>.</w:t>
      </w:r>
      <w:r>
        <w:rPr>
          <w:rFonts w:hint="eastAsia" w:ascii="黑体" w:hAnsi="黑体" w:eastAsia="黑体" w:cs="黑体"/>
          <w:bCs/>
          <w:sz w:val="32"/>
          <w:szCs w:val="32"/>
        </w:rPr>
        <w:t>评标办法</w:t>
      </w:r>
    </w:p>
    <w:p w14:paraId="1D745C27">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8</w:t>
      </w:r>
      <w:r>
        <w:rPr>
          <w:rFonts w:hint="eastAsia" w:ascii="仿宋_GB2312" w:hAnsi="仿宋_GB2312" w:eastAsia="仿宋_GB2312" w:cs="仿宋_GB2312"/>
          <w:bCs/>
          <w:sz w:val="32"/>
          <w:szCs w:val="32"/>
        </w:rPr>
        <w:t>.1</w:t>
      </w:r>
      <w:r>
        <w:rPr>
          <w:rFonts w:hint="eastAsia" w:ascii="仿宋_GB2312" w:hAnsi="仿宋_GB2312" w:eastAsia="仿宋_GB2312" w:cs="仿宋_GB2312"/>
          <w:sz w:val="32"/>
          <w:szCs w:val="32"/>
        </w:rPr>
        <w:t>评标委员会首先对竞标人的资质条件和竞标文件的有效性进行符合性评审，符合招标文件要求的给予符合性通过，不符合招标文件要求的竞标文件定为废标</w:t>
      </w:r>
      <w:r>
        <w:rPr>
          <w:rFonts w:hint="eastAsia" w:ascii="仿宋_GB2312" w:hAnsi="仿宋_GB2312" w:eastAsia="仿宋_GB2312" w:cs="仿宋_GB2312"/>
          <w:bCs/>
          <w:sz w:val="32"/>
          <w:szCs w:val="32"/>
        </w:rPr>
        <w:t>。</w:t>
      </w:r>
    </w:p>
    <w:p w14:paraId="195719F8">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8</w:t>
      </w:r>
      <w:r>
        <w:rPr>
          <w:rFonts w:hint="eastAsia" w:ascii="仿宋_GB2312" w:hAnsi="仿宋_GB2312" w:eastAsia="仿宋_GB2312" w:cs="仿宋_GB2312"/>
          <w:bCs/>
          <w:sz w:val="32"/>
          <w:szCs w:val="32"/>
        </w:rPr>
        <w:t>.2</w:t>
      </w:r>
      <w:r>
        <w:rPr>
          <w:rFonts w:hint="eastAsia" w:ascii="仿宋_GB2312" w:hAnsi="仿宋_GB2312" w:eastAsia="仿宋_GB2312" w:cs="仿宋_GB2312"/>
          <w:sz w:val="32"/>
          <w:szCs w:val="32"/>
        </w:rPr>
        <w:t>评标办法为综合评分制评分法(满分为100分)</w:t>
      </w:r>
      <w:r>
        <w:rPr>
          <w:rFonts w:hint="eastAsia" w:ascii="仿宋_GB2312" w:hAnsi="仿宋_GB2312" w:eastAsia="仿宋_GB2312" w:cs="仿宋_GB2312"/>
          <w:bCs/>
          <w:sz w:val="32"/>
          <w:szCs w:val="32"/>
        </w:rPr>
        <w:t>。</w:t>
      </w:r>
    </w:p>
    <w:p w14:paraId="0BCAD3E9">
      <w:pPr>
        <w:keepNext w:val="0"/>
        <w:keepLines w:val="0"/>
        <w:pageBreakBefore w:val="0"/>
        <w:widowControl w:val="0"/>
        <w:kinsoku/>
        <w:wordWrap/>
        <w:overflowPunct/>
        <w:topLinePunct w:val="0"/>
        <w:autoSpaceDE/>
        <w:autoSpaceDN/>
        <w:bidi w:val="0"/>
        <w:spacing w:line="580" w:lineRule="exact"/>
        <w:ind w:firstLine="640" w:firstLineChars="200"/>
        <w:textAlignment w:val="auto"/>
        <w:outlineLvl w:val="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lang w:val="en-US" w:eastAsia="zh-CN"/>
        </w:rPr>
        <w:t>8.2.1</w:t>
      </w:r>
      <w:r>
        <w:rPr>
          <w:rFonts w:hint="eastAsia" w:ascii="仿宋_GB2312" w:hAnsi="仿宋_GB2312" w:eastAsia="仿宋_GB2312" w:cs="仿宋_GB2312"/>
          <w:bCs/>
          <w:color w:val="000000"/>
          <w:sz w:val="32"/>
          <w:szCs w:val="32"/>
        </w:rPr>
        <w:t>商务部分（</w:t>
      </w:r>
      <w:r>
        <w:rPr>
          <w:rFonts w:hint="eastAsia" w:ascii="仿宋_GB2312" w:hAnsi="仿宋_GB2312" w:eastAsia="仿宋_GB2312" w:cs="仿宋_GB2312"/>
          <w:bCs/>
          <w:color w:val="000000"/>
          <w:sz w:val="32"/>
          <w:szCs w:val="32"/>
          <w:lang w:val="en-US" w:eastAsia="zh-CN"/>
        </w:rPr>
        <w:t>2</w:t>
      </w:r>
      <w:r>
        <w:rPr>
          <w:rFonts w:hint="eastAsia" w:ascii="仿宋_GB2312" w:hAnsi="仿宋_GB2312" w:eastAsia="仿宋_GB2312" w:cs="仿宋_GB2312"/>
          <w:bCs/>
          <w:color w:val="000000"/>
          <w:sz w:val="32"/>
          <w:szCs w:val="32"/>
        </w:rPr>
        <w:t>0分）</w:t>
      </w:r>
    </w:p>
    <w:p w14:paraId="29D36C67">
      <w:pPr>
        <w:keepNext w:val="0"/>
        <w:keepLines w:val="0"/>
        <w:pageBreakBefore w:val="0"/>
        <w:widowControl w:val="0"/>
        <w:kinsoku/>
        <w:wordWrap/>
        <w:overflowPunct/>
        <w:topLinePunct w:val="0"/>
        <w:autoSpaceDE/>
        <w:autoSpaceDN/>
        <w:bidi w:val="0"/>
        <w:spacing w:line="580" w:lineRule="exact"/>
        <w:ind w:firstLine="640" w:firstLineChars="200"/>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有效谈判申请人的谈判总报价参与评审。当有效谈判申请人的谈判总报价等于评标基准价时得满分，有效谈判报价与评标基准价相比，每向上浮动1%扣0.3分，每向下浮动1%扣0.2分，分数扣完为止。</w:t>
      </w:r>
    </w:p>
    <w:p w14:paraId="6B583308">
      <w:pPr>
        <w:keepNext w:val="0"/>
        <w:keepLines w:val="0"/>
        <w:pageBreakBefore w:val="0"/>
        <w:widowControl w:val="0"/>
        <w:kinsoku/>
        <w:wordWrap/>
        <w:overflowPunct/>
        <w:topLinePunct w:val="0"/>
        <w:autoSpaceDE/>
        <w:autoSpaceDN/>
        <w:bidi w:val="0"/>
        <w:spacing w:line="580" w:lineRule="exact"/>
        <w:ind w:firstLine="640" w:firstLineChars="200"/>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评标基准价的计算方式如下：</w:t>
      </w:r>
    </w:p>
    <w:p w14:paraId="038173EA">
      <w:pPr>
        <w:keepNext w:val="0"/>
        <w:keepLines w:val="0"/>
        <w:pageBreakBefore w:val="0"/>
        <w:widowControl w:val="0"/>
        <w:kinsoku/>
        <w:wordWrap/>
        <w:overflowPunct/>
        <w:topLinePunct w:val="0"/>
        <w:autoSpaceDE/>
        <w:autoSpaceDN/>
        <w:bidi w:val="0"/>
        <w:spacing w:line="580" w:lineRule="exact"/>
        <w:ind w:firstLine="640" w:firstLineChars="200"/>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当有效谈判报价≤5个时，取所有有效谈判报价的平均值为评标基准价；</w:t>
      </w:r>
    </w:p>
    <w:p w14:paraId="115EBEB0">
      <w:pPr>
        <w:keepNext w:val="0"/>
        <w:keepLines w:val="0"/>
        <w:pageBreakBefore w:val="0"/>
        <w:widowControl w:val="0"/>
        <w:kinsoku/>
        <w:wordWrap/>
        <w:overflowPunct/>
        <w:topLinePunct w:val="0"/>
        <w:autoSpaceDE/>
        <w:autoSpaceDN/>
        <w:bidi w:val="0"/>
        <w:spacing w:line="580" w:lineRule="exact"/>
        <w:ind w:firstLine="640" w:firstLineChars="200"/>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（2）当有效谈判报价＞5个时，去掉最高和最低的有效谈判报价的平均值为评标基准价。</w:t>
      </w:r>
    </w:p>
    <w:p w14:paraId="196D72B1">
      <w:pPr>
        <w:keepNext w:val="0"/>
        <w:keepLines w:val="0"/>
        <w:pageBreakBefore w:val="0"/>
        <w:widowControl w:val="0"/>
        <w:kinsoku/>
        <w:wordWrap/>
        <w:overflowPunct/>
        <w:topLinePunct w:val="0"/>
        <w:autoSpaceDE/>
        <w:autoSpaceDN/>
        <w:bidi w:val="0"/>
        <w:spacing w:line="580" w:lineRule="exact"/>
        <w:ind w:firstLine="640" w:firstLineChars="200"/>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说明：有效谈判报价及其个数是指通过谈判小组初步评审的有效谈判申请人的谈判报价及其个数。</w:t>
      </w:r>
    </w:p>
    <w:p w14:paraId="0195DB39">
      <w:pPr>
        <w:keepNext w:val="0"/>
        <w:keepLines w:val="0"/>
        <w:pageBreakBefore w:val="0"/>
        <w:widowControl w:val="0"/>
        <w:kinsoku/>
        <w:wordWrap/>
        <w:overflowPunct/>
        <w:topLinePunct w:val="0"/>
        <w:autoSpaceDE/>
        <w:autoSpaceDN/>
        <w:bidi w:val="0"/>
        <w:spacing w:line="580" w:lineRule="exact"/>
        <w:ind w:firstLine="640" w:firstLineChars="200"/>
        <w:textAlignment w:val="auto"/>
        <w:outlineLvl w:val="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lang w:val="en-US" w:eastAsia="zh-CN"/>
        </w:rPr>
        <w:t>8.2.2</w:t>
      </w:r>
      <w:r>
        <w:rPr>
          <w:rFonts w:hint="eastAsia" w:ascii="仿宋_GB2312" w:hAnsi="仿宋_GB2312" w:eastAsia="仿宋_GB2312" w:cs="仿宋_GB2312"/>
          <w:bCs/>
          <w:color w:val="000000"/>
          <w:sz w:val="32"/>
          <w:szCs w:val="32"/>
        </w:rPr>
        <w:t>技术部分按下表进行打分（</w:t>
      </w:r>
      <w:r>
        <w:rPr>
          <w:rFonts w:hint="eastAsia" w:ascii="仿宋_GB2312" w:hAnsi="仿宋_GB2312" w:eastAsia="仿宋_GB2312" w:cs="仿宋_GB2312"/>
          <w:bCs/>
          <w:color w:val="000000"/>
          <w:sz w:val="32"/>
          <w:szCs w:val="32"/>
          <w:lang w:val="en-US" w:eastAsia="zh-CN"/>
        </w:rPr>
        <w:t>8</w:t>
      </w:r>
      <w:r>
        <w:rPr>
          <w:rFonts w:hint="eastAsia" w:ascii="仿宋_GB2312" w:hAnsi="仿宋_GB2312" w:eastAsia="仿宋_GB2312" w:cs="仿宋_GB2312"/>
          <w:bCs/>
          <w:color w:val="000000"/>
          <w:sz w:val="32"/>
          <w:szCs w:val="32"/>
        </w:rPr>
        <w:t>0分）</w:t>
      </w:r>
    </w:p>
    <w:p w14:paraId="76D47AE2">
      <w:pPr>
        <w:pStyle w:val="2"/>
        <w:rPr>
          <w:rFonts w:hint="eastAsia" w:ascii="仿宋_GB2312" w:hAnsi="仿宋_GB2312" w:eastAsia="仿宋_GB2312" w:cs="仿宋_GB2312"/>
          <w:bCs/>
          <w:color w:val="000000"/>
          <w:sz w:val="32"/>
          <w:szCs w:val="32"/>
        </w:rPr>
      </w:pPr>
    </w:p>
    <w:p w14:paraId="31C497D3">
      <w:pPr>
        <w:pStyle w:val="2"/>
        <w:rPr>
          <w:rFonts w:hint="eastAsia" w:ascii="仿宋_GB2312" w:hAnsi="仿宋_GB2312" w:eastAsia="仿宋_GB2312" w:cs="仿宋_GB2312"/>
          <w:bCs/>
          <w:color w:val="000000"/>
          <w:sz w:val="32"/>
          <w:szCs w:val="32"/>
        </w:rPr>
      </w:pPr>
    </w:p>
    <w:p w14:paraId="469E190D">
      <w:pPr>
        <w:pStyle w:val="2"/>
        <w:rPr>
          <w:rFonts w:hint="eastAsia" w:ascii="仿宋_GB2312" w:hAnsi="仿宋_GB2312" w:eastAsia="仿宋_GB2312" w:cs="仿宋_GB2312"/>
          <w:bCs/>
          <w:color w:val="000000"/>
          <w:sz w:val="32"/>
          <w:szCs w:val="32"/>
        </w:rPr>
      </w:pPr>
    </w:p>
    <w:p w14:paraId="553D0416">
      <w:pPr>
        <w:pStyle w:val="2"/>
        <w:rPr>
          <w:rFonts w:hint="eastAsia" w:ascii="仿宋_GB2312" w:hAnsi="仿宋_GB2312" w:eastAsia="仿宋_GB2312" w:cs="仿宋_GB2312"/>
          <w:bCs/>
          <w:color w:val="000000"/>
          <w:sz w:val="32"/>
          <w:szCs w:val="32"/>
        </w:rPr>
      </w:pPr>
    </w:p>
    <w:p w14:paraId="4B538829">
      <w:pPr>
        <w:pStyle w:val="2"/>
        <w:rPr>
          <w:rFonts w:hint="eastAsia" w:ascii="仿宋_GB2312" w:hAnsi="仿宋_GB2312" w:eastAsia="仿宋_GB2312" w:cs="仿宋_GB2312"/>
          <w:bCs/>
          <w:color w:val="000000"/>
          <w:sz w:val="32"/>
          <w:szCs w:val="32"/>
        </w:rPr>
      </w:pPr>
    </w:p>
    <w:tbl>
      <w:tblPr>
        <w:tblStyle w:val="13"/>
        <w:tblW w:w="4973" w:type="pct"/>
        <w:tblInd w:w="0" w:type="dxa"/>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autofit"/>
        <w:tblCellMar>
          <w:top w:w="0" w:type="dxa"/>
          <w:left w:w="108" w:type="dxa"/>
          <w:bottom w:w="0" w:type="dxa"/>
          <w:right w:w="108" w:type="dxa"/>
        </w:tblCellMar>
      </w:tblPr>
      <w:tblGrid>
        <w:gridCol w:w="1068"/>
        <w:gridCol w:w="1432"/>
        <w:gridCol w:w="5895"/>
        <w:gridCol w:w="843"/>
      </w:tblGrid>
      <w:tr w14:paraId="1AAA2B9F">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CellMar>
            <w:top w:w="0" w:type="dxa"/>
            <w:left w:w="108" w:type="dxa"/>
            <w:bottom w:w="0" w:type="dxa"/>
            <w:right w:w="108" w:type="dxa"/>
          </w:tblCellMar>
        </w:tblPrEx>
        <w:trPr>
          <w:trHeight w:val="893" w:hRule="atLeast"/>
        </w:trPr>
        <w:tc>
          <w:tcPr>
            <w:tcW w:w="578" w:type="pct"/>
            <w:tcBorders>
              <w:top w:val="single" w:color="auto" w:sz="4" w:space="0"/>
              <w:left w:val="single" w:color="auto" w:sz="4" w:space="0"/>
              <w:bottom w:val="single" w:color="auto" w:sz="4" w:space="0"/>
              <w:right w:val="single" w:color="auto" w:sz="4" w:space="0"/>
            </w:tcBorders>
            <w:vAlign w:val="center"/>
          </w:tcPr>
          <w:p w14:paraId="3E972D47">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eastAsia" w:ascii="黑体" w:hAnsi="黑体" w:eastAsia="黑体" w:cs="黑体"/>
                <w:b w:val="0"/>
                <w:bCs/>
                <w:color w:val="000000"/>
                <w:sz w:val="28"/>
                <w:szCs w:val="28"/>
              </w:rPr>
            </w:pPr>
            <w:r>
              <w:rPr>
                <w:rFonts w:hint="eastAsia" w:ascii="黑体" w:hAnsi="黑体" w:eastAsia="黑体" w:cs="黑体"/>
                <w:b w:val="0"/>
                <w:bCs/>
                <w:color w:val="000000"/>
                <w:sz w:val="28"/>
                <w:szCs w:val="28"/>
              </w:rPr>
              <w:t>序号</w:t>
            </w:r>
          </w:p>
        </w:tc>
        <w:tc>
          <w:tcPr>
            <w:tcW w:w="775" w:type="pct"/>
            <w:tcBorders>
              <w:top w:val="single" w:color="auto" w:sz="4" w:space="0"/>
              <w:left w:val="single" w:color="auto" w:sz="4" w:space="0"/>
              <w:bottom w:val="single" w:color="auto" w:sz="4" w:space="0"/>
              <w:right w:val="single" w:color="auto" w:sz="4" w:space="0"/>
            </w:tcBorders>
            <w:vAlign w:val="center"/>
          </w:tcPr>
          <w:p w14:paraId="6D68F872">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eastAsia" w:ascii="黑体" w:hAnsi="黑体" w:eastAsia="黑体" w:cs="黑体"/>
                <w:b w:val="0"/>
                <w:bCs/>
                <w:color w:val="000000"/>
                <w:sz w:val="28"/>
                <w:szCs w:val="28"/>
              </w:rPr>
            </w:pPr>
            <w:r>
              <w:rPr>
                <w:rFonts w:hint="eastAsia" w:ascii="黑体" w:hAnsi="黑体" w:eastAsia="黑体" w:cs="黑体"/>
                <w:b w:val="0"/>
                <w:bCs/>
                <w:color w:val="000000"/>
                <w:sz w:val="28"/>
                <w:szCs w:val="28"/>
              </w:rPr>
              <w:t>项目</w:t>
            </w:r>
          </w:p>
        </w:tc>
        <w:tc>
          <w:tcPr>
            <w:tcW w:w="3190" w:type="pct"/>
            <w:tcBorders>
              <w:top w:val="single" w:color="auto" w:sz="4" w:space="0"/>
              <w:left w:val="single" w:color="auto" w:sz="4" w:space="0"/>
              <w:bottom w:val="single" w:color="auto" w:sz="4" w:space="0"/>
              <w:right w:val="single" w:color="auto" w:sz="4" w:space="0"/>
            </w:tcBorders>
            <w:vAlign w:val="center"/>
          </w:tcPr>
          <w:p w14:paraId="0FF8D599">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eastAsia" w:ascii="黑体" w:hAnsi="黑体" w:eastAsia="黑体" w:cs="黑体"/>
                <w:b w:val="0"/>
                <w:bCs/>
                <w:color w:val="000000"/>
                <w:sz w:val="28"/>
                <w:szCs w:val="28"/>
              </w:rPr>
            </w:pPr>
            <w:r>
              <w:rPr>
                <w:rFonts w:hint="eastAsia" w:ascii="黑体" w:hAnsi="黑体" w:eastAsia="黑体" w:cs="黑体"/>
                <w:b w:val="0"/>
                <w:bCs/>
                <w:color w:val="000000"/>
                <w:sz w:val="28"/>
                <w:szCs w:val="28"/>
              </w:rPr>
              <w:t>评分细则</w:t>
            </w:r>
          </w:p>
        </w:tc>
        <w:tc>
          <w:tcPr>
            <w:tcW w:w="456" w:type="pct"/>
            <w:tcBorders>
              <w:top w:val="single" w:color="auto" w:sz="4" w:space="0"/>
              <w:left w:val="single" w:color="auto" w:sz="4" w:space="0"/>
              <w:bottom w:val="single" w:color="auto" w:sz="4" w:space="0"/>
              <w:right w:val="single" w:color="auto" w:sz="4" w:space="0"/>
            </w:tcBorders>
            <w:vAlign w:val="center"/>
          </w:tcPr>
          <w:p w14:paraId="3C801C89">
            <w:pPr>
              <w:keepNext w:val="0"/>
              <w:keepLines w:val="0"/>
              <w:pageBreakBefore w:val="0"/>
              <w:kinsoku/>
              <w:wordWrap/>
              <w:overflowPunct/>
              <w:topLinePunct w:val="0"/>
              <w:autoSpaceDE/>
              <w:autoSpaceDN/>
              <w:bidi w:val="0"/>
              <w:adjustRightInd/>
              <w:snapToGrid/>
              <w:spacing w:line="320" w:lineRule="exact"/>
              <w:ind w:firstLine="0"/>
              <w:jc w:val="center"/>
              <w:textAlignment w:val="auto"/>
              <w:rPr>
                <w:rFonts w:hint="eastAsia" w:ascii="黑体" w:hAnsi="黑体" w:eastAsia="黑体" w:cs="黑体"/>
                <w:b w:val="0"/>
                <w:bCs/>
                <w:color w:val="000000"/>
                <w:sz w:val="28"/>
                <w:szCs w:val="28"/>
              </w:rPr>
            </w:pPr>
            <w:r>
              <w:rPr>
                <w:rFonts w:hint="eastAsia" w:ascii="黑体" w:hAnsi="黑体" w:eastAsia="黑体" w:cs="黑体"/>
                <w:b w:val="0"/>
                <w:bCs/>
                <w:color w:val="000000"/>
                <w:sz w:val="28"/>
                <w:szCs w:val="28"/>
              </w:rPr>
              <w:t>分值</w:t>
            </w:r>
          </w:p>
        </w:tc>
      </w:tr>
      <w:tr w14:paraId="1BEA2B28">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CellMar>
            <w:top w:w="0" w:type="dxa"/>
            <w:left w:w="108" w:type="dxa"/>
            <w:bottom w:w="0" w:type="dxa"/>
            <w:right w:w="108" w:type="dxa"/>
          </w:tblCellMar>
        </w:tblPrEx>
        <w:trPr>
          <w:trHeight w:val="2675" w:hRule="atLeast"/>
        </w:trPr>
        <w:tc>
          <w:tcPr>
            <w:tcW w:w="578" w:type="pct"/>
            <w:tcBorders>
              <w:top w:val="single" w:color="auto" w:sz="4" w:space="0"/>
              <w:left w:val="single" w:color="auto" w:sz="4" w:space="0"/>
              <w:bottom w:val="single" w:color="auto" w:sz="4" w:space="0"/>
              <w:right w:val="single" w:color="auto" w:sz="4" w:space="0"/>
            </w:tcBorders>
            <w:vAlign w:val="center"/>
          </w:tcPr>
          <w:p w14:paraId="1903D19B">
            <w:pPr>
              <w:keepNext w:val="0"/>
              <w:keepLines w:val="0"/>
              <w:pageBreakBefore w:val="0"/>
              <w:kinsoku/>
              <w:wordWrap/>
              <w:overflowPunct/>
              <w:topLinePunct w:val="0"/>
              <w:autoSpaceDE/>
              <w:autoSpaceDN/>
              <w:bidi w:val="0"/>
              <w:adjustRightInd/>
              <w:snapToGrid/>
              <w:spacing w:line="300" w:lineRule="exact"/>
              <w:ind w:firstLine="0"/>
              <w:jc w:val="center"/>
              <w:textAlignment w:val="auto"/>
              <w:rPr>
                <w:rFonts w:hint="eastAsia" w:ascii="仿宋_GB2312" w:hAnsi="仿宋_GB2312" w:eastAsia="仿宋_GB2312" w:cs="仿宋_GB2312"/>
                <w:b w:val="0"/>
                <w:bCs/>
                <w:color w:val="000000"/>
                <w:sz w:val="24"/>
                <w:szCs w:val="24"/>
              </w:rPr>
            </w:pPr>
            <w:bookmarkStart w:id="0" w:name="_Hlk37242205"/>
            <w:bookmarkStart w:id="1" w:name="_Hlk32792096"/>
            <w:bookmarkStart w:id="2" w:name="_Hlk54702019"/>
            <w:r>
              <w:rPr>
                <w:rFonts w:hint="eastAsia" w:ascii="仿宋_GB2312" w:hAnsi="仿宋_GB2312" w:eastAsia="仿宋_GB2312" w:cs="仿宋_GB2312"/>
                <w:b w:val="0"/>
                <w:bCs/>
                <w:color w:val="000000"/>
                <w:sz w:val="24"/>
                <w:szCs w:val="24"/>
              </w:rPr>
              <w:t>1</w:t>
            </w:r>
          </w:p>
        </w:tc>
        <w:tc>
          <w:tcPr>
            <w:tcW w:w="775" w:type="pct"/>
            <w:tcBorders>
              <w:top w:val="single" w:color="auto" w:sz="4" w:space="0"/>
              <w:left w:val="single" w:color="auto" w:sz="4" w:space="0"/>
              <w:bottom w:val="single" w:color="auto" w:sz="4" w:space="0"/>
              <w:right w:val="single" w:color="auto" w:sz="4" w:space="0"/>
            </w:tcBorders>
            <w:vAlign w:val="center"/>
          </w:tcPr>
          <w:p w14:paraId="01E49811">
            <w:pPr>
              <w:keepNext w:val="0"/>
              <w:keepLines w:val="0"/>
              <w:pageBreakBefore w:val="0"/>
              <w:widowControl/>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b w:val="0"/>
                <w:bCs/>
                <w:color w:val="000000"/>
                <w:kern w:val="0"/>
                <w:sz w:val="24"/>
                <w:szCs w:val="24"/>
              </w:rPr>
            </w:pPr>
            <w:r>
              <w:rPr>
                <w:rFonts w:hint="eastAsia" w:ascii="仿宋_GB2312" w:hAnsi="仿宋_GB2312" w:eastAsia="仿宋_GB2312" w:cs="仿宋_GB2312"/>
                <w:sz w:val="24"/>
                <w:szCs w:val="24"/>
              </w:rPr>
              <w:t>垃圾清运服务方案</w:t>
            </w:r>
          </w:p>
        </w:tc>
        <w:tc>
          <w:tcPr>
            <w:tcW w:w="3190" w:type="pct"/>
            <w:tcBorders>
              <w:top w:val="single" w:color="auto" w:sz="4" w:space="0"/>
              <w:left w:val="single" w:color="auto" w:sz="4" w:space="0"/>
              <w:bottom w:val="single" w:color="auto" w:sz="4" w:space="0"/>
              <w:right w:val="single" w:color="auto" w:sz="4" w:space="0"/>
            </w:tcBorders>
            <w:vAlign w:val="top"/>
          </w:tcPr>
          <w:p w14:paraId="1743B356">
            <w:pPr>
              <w:keepNext w:val="0"/>
              <w:keepLines w:val="0"/>
              <w:pageBreakBefore w:val="0"/>
              <w:widowControl/>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第一档次：</w:t>
            </w:r>
            <w:r>
              <w:rPr>
                <w:rFonts w:hint="eastAsia" w:ascii="仿宋_GB2312" w:hAnsi="仿宋_GB2312" w:eastAsia="仿宋_GB2312" w:cs="仿宋_GB2312"/>
                <w:sz w:val="24"/>
                <w:szCs w:val="24"/>
              </w:rPr>
              <w:t>服务方案对项目特点和难点考虑全面，实施方案针对性强，内容详细，计划周详，管理到位，可操作性好的得11-15分</w:t>
            </w:r>
            <w:r>
              <w:rPr>
                <w:rFonts w:hint="eastAsia" w:ascii="仿宋_GB2312" w:hAnsi="仿宋_GB2312" w:eastAsia="仿宋_GB2312" w:cs="仿宋_GB2312"/>
                <w:b w:val="0"/>
                <w:bCs/>
                <w:sz w:val="24"/>
                <w:szCs w:val="24"/>
              </w:rPr>
              <w:t>；</w:t>
            </w:r>
          </w:p>
          <w:p w14:paraId="134AF273">
            <w:pPr>
              <w:keepNext w:val="0"/>
              <w:keepLines w:val="0"/>
              <w:pageBreakBefore w:val="0"/>
              <w:widowControl/>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第二档次：</w:t>
            </w:r>
            <w:r>
              <w:rPr>
                <w:rFonts w:hint="eastAsia" w:ascii="仿宋_GB2312" w:hAnsi="仿宋_GB2312" w:eastAsia="仿宋_GB2312" w:cs="仿宋_GB2312"/>
                <w:sz w:val="24"/>
                <w:szCs w:val="24"/>
              </w:rPr>
              <w:t>服务方案对项目的特点和难点考虑全面性较好，实施方案针对性较好，内容较详细，计划较好，管理基本到位，可操作性较好的得6-10分</w:t>
            </w:r>
            <w:r>
              <w:rPr>
                <w:rFonts w:hint="eastAsia" w:ascii="仿宋_GB2312" w:hAnsi="仿宋_GB2312" w:eastAsia="仿宋_GB2312" w:cs="仿宋_GB2312"/>
                <w:b w:val="0"/>
                <w:bCs/>
                <w:sz w:val="24"/>
                <w:szCs w:val="24"/>
              </w:rPr>
              <w:t>；</w:t>
            </w:r>
          </w:p>
          <w:p w14:paraId="344AD806">
            <w:pPr>
              <w:keepNext w:val="0"/>
              <w:keepLines w:val="0"/>
              <w:pageBreakBefore w:val="0"/>
              <w:widowControl/>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第三档次：</w:t>
            </w:r>
            <w:r>
              <w:rPr>
                <w:rFonts w:hint="eastAsia" w:ascii="仿宋_GB2312" w:hAnsi="仿宋_GB2312" w:eastAsia="仿宋_GB2312" w:cs="仿宋_GB2312"/>
                <w:sz w:val="24"/>
                <w:szCs w:val="24"/>
              </w:rPr>
              <w:t>服务方案对项目特点和难点考虑较差，方案无针对性、管理不到位、操作性差的得1-5分</w:t>
            </w:r>
            <w:r>
              <w:rPr>
                <w:rFonts w:hint="eastAsia" w:ascii="仿宋_GB2312" w:hAnsi="仿宋_GB2312" w:eastAsia="仿宋_GB2312" w:cs="仿宋_GB2312"/>
                <w:b w:val="0"/>
                <w:bCs/>
                <w:sz w:val="24"/>
                <w:szCs w:val="24"/>
              </w:rPr>
              <w:t>。</w:t>
            </w:r>
          </w:p>
          <w:p w14:paraId="77E2641A">
            <w:pPr>
              <w:pStyle w:val="2"/>
              <w:keepNext w:val="0"/>
              <w:keepLines w:val="0"/>
              <w:pageBreakBefore w:val="0"/>
              <w:kinsoku/>
              <w:wordWrap/>
              <w:overflowPunct/>
              <w:topLinePunct w:val="0"/>
              <w:autoSpaceDE/>
              <w:autoSpaceDN/>
              <w:bidi w:val="0"/>
              <w:adjustRightInd/>
              <w:snapToGrid/>
              <w:spacing w:after="0" w:line="300" w:lineRule="exact"/>
              <w:ind w:firstLine="0"/>
              <w:textAlignment w:val="auto"/>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sz w:val="24"/>
                <w:szCs w:val="24"/>
              </w:rPr>
              <w:t>无相关内容不得分</w:t>
            </w:r>
            <w:r>
              <w:rPr>
                <w:rFonts w:hint="eastAsia" w:ascii="仿宋_GB2312" w:hAnsi="仿宋_GB2312" w:eastAsia="仿宋_GB2312" w:cs="仿宋_GB2312"/>
                <w:b w:val="0"/>
                <w:bCs/>
                <w:sz w:val="24"/>
                <w:szCs w:val="24"/>
                <w:lang w:val="en-US" w:eastAsia="zh-CN"/>
              </w:rPr>
              <w:t>。</w:t>
            </w:r>
          </w:p>
        </w:tc>
        <w:tc>
          <w:tcPr>
            <w:tcW w:w="456" w:type="pct"/>
            <w:tcBorders>
              <w:top w:val="single" w:color="auto" w:sz="4" w:space="0"/>
              <w:left w:val="single" w:color="auto" w:sz="4" w:space="0"/>
              <w:bottom w:val="single" w:color="auto" w:sz="4" w:space="0"/>
              <w:right w:val="single" w:color="auto" w:sz="4" w:space="0"/>
            </w:tcBorders>
            <w:vAlign w:val="center"/>
          </w:tcPr>
          <w:p w14:paraId="7AE5AB9E">
            <w:pPr>
              <w:keepNext w:val="0"/>
              <w:keepLines w:val="0"/>
              <w:pageBreakBefore w:val="0"/>
              <w:kinsoku/>
              <w:wordWrap/>
              <w:overflowPunct/>
              <w:topLinePunct w:val="0"/>
              <w:autoSpaceDE/>
              <w:autoSpaceDN/>
              <w:bidi w:val="0"/>
              <w:adjustRightInd/>
              <w:snapToGrid/>
              <w:spacing w:line="300" w:lineRule="exact"/>
              <w:ind w:firstLine="0"/>
              <w:jc w:val="center"/>
              <w:textAlignment w:val="auto"/>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color w:val="000000"/>
                <w:sz w:val="24"/>
                <w:szCs w:val="24"/>
                <w:lang w:val="en-US" w:eastAsia="zh-CN"/>
              </w:rPr>
              <w:t>15</w:t>
            </w:r>
            <w:r>
              <w:rPr>
                <w:rFonts w:hint="eastAsia" w:ascii="仿宋_GB2312" w:hAnsi="仿宋_GB2312" w:eastAsia="仿宋_GB2312" w:cs="仿宋_GB2312"/>
                <w:b w:val="0"/>
                <w:bCs/>
                <w:color w:val="000000"/>
                <w:sz w:val="24"/>
                <w:szCs w:val="24"/>
              </w:rPr>
              <w:t>分</w:t>
            </w:r>
          </w:p>
        </w:tc>
      </w:tr>
      <w:bookmarkEnd w:id="0"/>
      <w:bookmarkEnd w:id="1"/>
      <w:tr w14:paraId="2850BE34">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CellMar>
            <w:top w:w="0" w:type="dxa"/>
            <w:left w:w="108" w:type="dxa"/>
            <w:bottom w:w="0" w:type="dxa"/>
            <w:right w:w="108" w:type="dxa"/>
          </w:tblCellMar>
        </w:tblPrEx>
        <w:trPr>
          <w:trHeight w:val="3727" w:hRule="atLeast"/>
        </w:trPr>
        <w:tc>
          <w:tcPr>
            <w:tcW w:w="578" w:type="pct"/>
            <w:tcBorders>
              <w:top w:val="single" w:color="auto" w:sz="4" w:space="0"/>
              <w:left w:val="single" w:color="auto" w:sz="4" w:space="0"/>
              <w:bottom w:val="single" w:color="auto" w:sz="4" w:space="0"/>
              <w:right w:val="single" w:color="auto" w:sz="4" w:space="0"/>
            </w:tcBorders>
            <w:vAlign w:val="center"/>
          </w:tcPr>
          <w:p w14:paraId="5328946A">
            <w:pPr>
              <w:keepNext w:val="0"/>
              <w:keepLines w:val="0"/>
              <w:pageBreakBefore w:val="0"/>
              <w:kinsoku/>
              <w:wordWrap/>
              <w:overflowPunct/>
              <w:topLinePunct w:val="0"/>
              <w:autoSpaceDE/>
              <w:autoSpaceDN/>
              <w:bidi w:val="0"/>
              <w:adjustRightInd/>
              <w:snapToGrid/>
              <w:spacing w:line="300" w:lineRule="exact"/>
              <w:ind w:firstLine="0"/>
              <w:jc w:val="center"/>
              <w:textAlignment w:val="auto"/>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color w:val="000000"/>
                <w:sz w:val="24"/>
                <w:szCs w:val="24"/>
              </w:rPr>
              <w:t>2</w:t>
            </w:r>
          </w:p>
        </w:tc>
        <w:tc>
          <w:tcPr>
            <w:tcW w:w="775" w:type="pct"/>
            <w:tcBorders>
              <w:top w:val="single" w:color="auto" w:sz="4" w:space="0"/>
              <w:left w:val="single" w:color="auto" w:sz="4" w:space="0"/>
              <w:bottom w:val="single" w:color="auto" w:sz="4" w:space="0"/>
              <w:right w:val="single" w:color="auto" w:sz="4" w:space="0"/>
            </w:tcBorders>
            <w:vAlign w:val="center"/>
          </w:tcPr>
          <w:p w14:paraId="5C57D245">
            <w:pPr>
              <w:keepNext w:val="0"/>
              <w:keepLines w:val="0"/>
              <w:pageBreakBefore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sz w:val="24"/>
                <w:szCs w:val="24"/>
              </w:rPr>
              <w:t>项目作业方案</w:t>
            </w:r>
          </w:p>
        </w:tc>
        <w:tc>
          <w:tcPr>
            <w:tcW w:w="3190" w:type="pct"/>
            <w:tcBorders>
              <w:top w:val="single" w:color="auto" w:sz="4" w:space="0"/>
              <w:left w:val="single" w:color="auto" w:sz="4" w:space="0"/>
              <w:bottom w:val="single" w:color="auto" w:sz="4" w:space="0"/>
              <w:right w:val="single" w:color="auto" w:sz="4" w:space="0"/>
            </w:tcBorders>
            <w:vAlign w:val="top"/>
          </w:tcPr>
          <w:p w14:paraId="4DB70CD7">
            <w:pPr>
              <w:keepNext w:val="0"/>
              <w:keepLines w:val="0"/>
              <w:pageBreakBefore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color w:val="000000"/>
                <w:sz w:val="24"/>
                <w:szCs w:val="24"/>
              </w:rPr>
              <w:t>第一档次：</w:t>
            </w:r>
            <w:r>
              <w:rPr>
                <w:rFonts w:hint="eastAsia" w:ascii="仿宋_GB2312" w:hAnsi="仿宋_GB2312" w:eastAsia="仿宋_GB2312" w:cs="仿宋_GB2312"/>
                <w:sz w:val="24"/>
                <w:szCs w:val="24"/>
              </w:rPr>
              <w:t>作业方案包涵内容齐全，作业方案针对性可行性较强，作业要点难点分析完整、准确，对要点难点有切实可行的对策措施方法、作业时间安排、运输作业规程等方面符合采购项目实际，能有效提高收运效率的得7-10</w:t>
            </w:r>
            <w:r>
              <w:rPr>
                <w:rFonts w:hint="eastAsia" w:ascii="仿宋_GB2312" w:hAnsi="仿宋_GB2312" w:eastAsia="仿宋_GB2312" w:cs="仿宋_GB2312"/>
                <w:b w:val="0"/>
                <w:bCs/>
                <w:sz w:val="24"/>
                <w:szCs w:val="24"/>
                <w:lang w:eastAsia="zh-CN"/>
              </w:rPr>
              <w:t>；</w:t>
            </w:r>
          </w:p>
          <w:p w14:paraId="1876EFF6">
            <w:pPr>
              <w:keepNext w:val="0"/>
              <w:keepLines w:val="0"/>
              <w:pageBreakBefore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color w:val="000000"/>
                <w:sz w:val="24"/>
                <w:szCs w:val="24"/>
              </w:rPr>
              <w:t>第二档次：</w:t>
            </w:r>
            <w:r>
              <w:rPr>
                <w:rFonts w:hint="eastAsia" w:ascii="仿宋_GB2312" w:hAnsi="仿宋_GB2312" w:eastAsia="仿宋_GB2312" w:cs="仿宋_GB2312"/>
                <w:sz w:val="24"/>
                <w:szCs w:val="24"/>
              </w:rPr>
              <w:t>作业方案、作业要点难点、作业时间安排、运输作业规程等方面，基本完整，有一定针对性，作业方案基本合理，总体能响应采购人要求，但不够完整、准确的得4-6</w:t>
            </w:r>
            <w:r>
              <w:rPr>
                <w:rFonts w:hint="eastAsia" w:ascii="仿宋_GB2312" w:hAnsi="仿宋_GB2312" w:eastAsia="仿宋_GB2312" w:cs="仿宋_GB2312"/>
                <w:b w:val="0"/>
                <w:bCs/>
                <w:sz w:val="24"/>
                <w:szCs w:val="24"/>
                <w:lang w:eastAsia="zh-CN"/>
              </w:rPr>
              <w:t>；</w:t>
            </w:r>
          </w:p>
          <w:p w14:paraId="7F85316B">
            <w:pPr>
              <w:keepNext w:val="0"/>
              <w:keepLines w:val="0"/>
              <w:pageBreakBefore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b w:val="0"/>
                <w:bCs/>
                <w:sz w:val="24"/>
                <w:szCs w:val="24"/>
                <w:lang w:eastAsia="zh-CN"/>
              </w:rPr>
            </w:pPr>
            <w:r>
              <w:rPr>
                <w:rFonts w:hint="eastAsia" w:ascii="仿宋_GB2312" w:hAnsi="仿宋_GB2312" w:eastAsia="仿宋_GB2312" w:cs="仿宋_GB2312"/>
                <w:b w:val="0"/>
                <w:bCs/>
                <w:color w:val="000000"/>
                <w:sz w:val="24"/>
                <w:szCs w:val="24"/>
              </w:rPr>
              <w:t>第三档次：</w:t>
            </w:r>
            <w:r>
              <w:rPr>
                <w:rFonts w:hint="eastAsia" w:ascii="仿宋_GB2312" w:hAnsi="仿宋_GB2312" w:eastAsia="仿宋_GB2312" w:cs="仿宋_GB2312"/>
                <w:sz w:val="24"/>
                <w:szCs w:val="24"/>
              </w:rPr>
              <w:t>业方案、作业要点难点、作业时间安排、收集运输作业规程等方面不完整，针对性较差，作业方案有不合理之处的得1-3分</w:t>
            </w:r>
            <w:r>
              <w:rPr>
                <w:rFonts w:hint="eastAsia" w:ascii="仿宋_GB2312" w:hAnsi="仿宋_GB2312" w:eastAsia="仿宋_GB2312" w:cs="仿宋_GB2312"/>
                <w:b w:val="0"/>
                <w:bCs/>
                <w:sz w:val="24"/>
                <w:szCs w:val="24"/>
                <w:lang w:eastAsia="zh-CN"/>
              </w:rPr>
              <w:t>；</w:t>
            </w:r>
          </w:p>
          <w:p w14:paraId="35447C98">
            <w:pPr>
              <w:keepNext w:val="0"/>
              <w:keepLines w:val="0"/>
              <w:pageBreakBefore w:val="0"/>
              <w:widowControl/>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b w:val="0"/>
                <w:bCs/>
                <w:color w:val="FF0000"/>
                <w:sz w:val="24"/>
                <w:szCs w:val="24"/>
              </w:rPr>
            </w:pPr>
            <w:r>
              <w:rPr>
                <w:rFonts w:hint="eastAsia" w:ascii="仿宋_GB2312" w:hAnsi="仿宋_GB2312" w:eastAsia="仿宋_GB2312" w:cs="仿宋_GB2312"/>
                <w:sz w:val="24"/>
                <w:szCs w:val="24"/>
              </w:rPr>
              <w:t>无项目作业方案不得分</w:t>
            </w:r>
            <w:r>
              <w:rPr>
                <w:rFonts w:hint="eastAsia" w:ascii="仿宋_GB2312" w:hAnsi="仿宋_GB2312" w:eastAsia="仿宋_GB2312" w:cs="仿宋_GB2312"/>
                <w:b w:val="0"/>
                <w:bCs/>
                <w:sz w:val="24"/>
                <w:szCs w:val="24"/>
              </w:rPr>
              <w:t>。</w:t>
            </w:r>
          </w:p>
        </w:tc>
        <w:tc>
          <w:tcPr>
            <w:tcW w:w="456" w:type="pct"/>
            <w:tcBorders>
              <w:top w:val="single" w:color="auto" w:sz="4" w:space="0"/>
              <w:left w:val="single" w:color="auto" w:sz="4" w:space="0"/>
              <w:bottom w:val="single" w:color="auto" w:sz="4" w:space="0"/>
              <w:right w:val="single" w:color="auto" w:sz="4" w:space="0"/>
            </w:tcBorders>
            <w:vAlign w:val="center"/>
          </w:tcPr>
          <w:p w14:paraId="669CC763">
            <w:pPr>
              <w:keepNext w:val="0"/>
              <w:keepLines w:val="0"/>
              <w:pageBreakBefore w:val="0"/>
              <w:kinsoku/>
              <w:wordWrap/>
              <w:overflowPunct/>
              <w:topLinePunct w:val="0"/>
              <w:autoSpaceDE/>
              <w:autoSpaceDN/>
              <w:bidi w:val="0"/>
              <w:adjustRightInd/>
              <w:snapToGrid/>
              <w:spacing w:line="300" w:lineRule="exact"/>
              <w:ind w:firstLine="0"/>
              <w:jc w:val="center"/>
              <w:textAlignment w:val="auto"/>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color w:val="000000"/>
                <w:sz w:val="24"/>
                <w:szCs w:val="24"/>
              </w:rPr>
              <w:t>10分</w:t>
            </w:r>
          </w:p>
        </w:tc>
      </w:tr>
      <w:tr w14:paraId="57DE16C8">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CellMar>
            <w:top w:w="0" w:type="dxa"/>
            <w:left w:w="108" w:type="dxa"/>
            <w:bottom w:w="0" w:type="dxa"/>
            <w:right w:w="108" w:type="dxa"/>
          </w:tblCellMar>
        </w:tblPrEx>
        <w:trPr>
          <w:trHeight w:val="2190" w:hRule="atLeast"/>
        </w:trPr>
        <w:tc>
          <w:tcPr>
            <w:tcW w:w="578" w:type="pct"/>
            <w:tcBorders>
              <w:top w:val="single" w:color="auto" w:sz="4" w:space="0"/>
              <w:left w:val="single" w:color="auto" w:sz="4" w:space="0"/>
              <w:bottom w:val="single" w:color="auto" w:sz="4" w:space="0"/>
              <w:right w:val="single" w:color="auto" w:sz="4" w:space="0"/>
            </w:tcBorders>
            <w:vAlign w:val="center"/>
          </w:tcPr>
          <w:p w14:paraId="3F9201B5">
            <w:pPr>
              <w:keepNext w:val="0"/>
              <w:keepLines w:val="0"/>
              <w:pageBreakBefore w:val="0"/>
              <w:kinsoku/>
              <w:wordWrap/>
              <w:overflowPunct/>
              <w:topLinePunct w:val="0"/>
              <w:autoSpaceDE/>
              <w:autoSpaceDN/>
              <w:bidi w:val="0"/>
              <w:adjustRightInd/>
              <w:snapToGrid/>
              <w:spacing w:line="300" w:lineRule="exact"/>
              <w:ind w:firstLine="0"/>
              <w:jc w:val="center"/>
              <w:textAlignment w:val="auto"/>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color w:val="000000"/>
                <w:sz w:val="24"/>
                <w:szCs w:val="24"/>
              </w:rPr>
              <w:t>3</w:t>
            </w:r>
          </w:p>
        </w:tc>
        <w:tc>
          <w:tcPr>
            <w:tcW w:w="775" w:type="pct"/>
            <w:tcBorders>
              <w:top w:val="single" w:color="auto" w:sz="4" w:space="0"/>
              <w:left w:val="single" w:color="auto" w:sz="4" w:space="0"/>
              <w:bottom w:val="single" w:color="auto" w:sz="4" w:space="0"/>
              <w:right w:val="single" w:color="auto" w:sz="4" w:space="0"/>
            </w:tcBorders>
            <w:vAlign w:val="center"/>
          </w:tcPr>
          <w:p w14:paraId="55B40A45">
            <w:pPr>
              <w:keepNext w:val="0"/>
              <w:keepLines w:val="0"/>
              <w:pageBreakBefore w:val="0"/>
              <w:widowControl/>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b w:val="0"/>
                <w:bCs/>
                <w:color w:val="000000"/>
                <w:kern w:val="0"/>
                <w:sz w:val="24"/>
                <w:szCs w:val="24"/>
              </w:rPr>
            </w:pPr>
            <w:r>
              <w:rPr>
                <w:rFonts w:hint="eastAsia" w:ascii="仿宋_GB2312" w:hAnsi="仿宋_GB2312" w:eastAsia="仿宋_GB2312" w:cs="仿宋_GB2312"/>
                <w:sz w:val="24"/>
                <w:szCs w:val="24"/>
              </w:rPr>
              <w:t>服务质量承诺及保证措施</w:t>
            </w:r>
          </w:p>
        </w:tc>
        <w:tc>
          <w:tcPr>
            <w:tcW w:w="3190" w:type="pct"/>
            <w:tcBorders>
              <w:top w:val="single" w:color="auto" w:sz="4" w:space="0"/>
              <w:left w:val="single" w:color="auto" w:sz="4" w:space="0"/>
              <w:bottom w:val="single" w:color="auto" w:sz="4" w:space="0"/>
              <w:right w:val="single" w:color="auto" w:sz="4" w:space="0"/>
            </w:tcBorders>
            <w:vAlign w:val="top"/>
          </w:tcPr>
          <w:p w14:paraId="54A5C596">
            <w:pPr>
              <w:keepNext w:val="0"/>
              <w:keepLines w:val="0"/>
              <w:pageBreakBefore w:val="0"/>
              <w:widowControl/>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color w:val="000000"/>
                <w:sz w:val="24"/>
                <w:szCs w:val="24"/>
              </w:rPr>
              <w:t>第一档次：</w:t>
            </w:r>
            <w:r>
              <w:rPr>
                <w:rFonts w:hint="eastAsia" w:ascii="仿宋_GB2312" w:hAnsi="仿宋_GB2312" w:eastAsia="仿宋_GB2312" w:cs="仿宋_GB2312"/>
                <w:sz w:val="24"/>
                <w:szCs w:val="24"/>
              </w:rPr>
              <w:t>针对本项目提出的违约处罚措施全面、具体、针对性强，可行性强的得11-15分</w:t>
            </w:r>
            <w:r>
              <w:rPr>
                <w:rFonts w:hint="eastAsia" w:ascii="仿宋_GB2312" w:hAnsi="仿宋_GB2312" w:eastAsia="仿宋_GB2312" w:cs="仿宋_GB2312"/>
                <w:b w:val="0"/>
                <w:bCs/>
                <w:color w:val="000000"/>
                <w:sz w:val="24"/>
                <w:szCs w:val="24"/>
              </w:rPr>
              <w:t>；</w:t>
            </w:r>
          </w:p>
          <w:p w14:paraId="361575C1">
            <w:pPr>
              <w:keepNext w:val="0"/>
              <w:keepLines w:val="0"/>
              <w:pageBreakBefore w:val="0"/>
              <w:widowControl/>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color w:val="000000"/>
                <w:sz w:val="24"/>
                <w:szCs w:val="24"/>
              </w:rPr>
              <w:t>第二档次：</w:t>
            </w:r>
            <w:r>
              <w:rPr>
                <w:rFonts w:hint="eastAsia" w:ascii="仿宋_GB2312" w:hAnsi="仿宋_GB2312" w:eastAsia="仿宋_GB2312" w:cs="仿宋_GB2312"/>
                <w:sz w:val="24"/>
                <w:szCs w:val="24"/>
              </w:rPr>
              <w:t>针对本项目提出的违约处罚措施基本完整、具有一定针对性，具有一定可行性的得6-10分</w:t>
            </w:r>
            <w:r>
              <w:rPr>
                <w:rFonts w:hint="eastAsia" w:ascii="仿宋_GB2312" w:hAnsi="仿宋_GB2312" w:eastAsia="仿宋_GB2312" w:cs="仿宋_GB2312"/>
                <w:b w:val="0"/>
                <w:bCs/>
                <w:color w:val="000000"/>
                <w:sz w:val="24"/>
                <w:szCs w:val="24"/>
              </w:rPr>
              <w:t>；</w:t>
            </w:r>
          </w:p>
          <w:p w14:paraId="31B1D581">
            <w:pPr>
              <w:keepNext w:val="0"/>
              <w:keepLines w:val="0"/>
              <w:pageBreakBefore w:val="0"/>
              <w:widowControl/>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color w:val="000000"/>
                <w:sz w:val="24"/>
                <w:szCs w:val="24"/>
              </w:rPr>
              <w:t>第三档次：</w:t>
            </w:r>
            <w:r>
              <w:rPr>
                <w:rFonts w:hint="eastAsia" w:ascii="仿宋_GB2312" w:hAnsi="仿宋_GB2312" w:eastAsia="仿宋_GB2312" w:cs="仿宋_GB2312"/>
                <w:sz w:val="24"/>
                <w:szCs w:val="24"/>
              </w:rPr>
              <w:t>针对本项目提出的违约处罚措施不明确、缺乏针对性，缺乏可行性的得1-5分</w:t>
            </w:r>
            <w:r>
              <w:rPr>
                <w:rFonts w:hint="eastAsia" w:ascii="仿宋_GB2312" w:hAnsi="仿宋_GB2312" w:eastAsia="仿宋_GB2312" w:cs="仿宋_GB2312"/>
                <w:b w:val="0"/>
                <w:bCs/>
                <w:color w:val="000000"/>
                <w:sz w:val="24"/>
                <w:szCs w:val="24"/>
              </w:rPr>
              <w:t>；</w:t>
            </w:r>
          </w:p>
          <w:p w14:paraId="0B667360">
            <w:pPr>
              <w:keepNext w:val="0"/>
              <w:keepLines w:val="0"/>
              <w:pageBreakBefore w:val="0"/>
              <w:widowControl/>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sz w:val="24"/>
                <w:szCs w:val="24"/>
              </w:rPr>
              <w:t>无相关内容不得分</w:t>
            </w:r>
            <w:r>
              <w:rPr>
                <w:rFonts w:hint="eastAsia" w:ascii="仿宋_GB2312" w:hAnsi="仿宋_GB2312" w:eastAsia="仿宋_GB2312" w:cs="仿宋_GB2312"/>
                <w:b w:val="0"/>
                <w:bCs/>
                <w:color w:val="000000"/>
                <w:sz w:val="24"/>
                <w:szCs w:val="24"/>
              </w:rPr>
              <w:t>。</w:t>
            </w:r>
          </w:p>
        </w:tc>
        <w:tc>
          <w:tcPr>
            <w:tcW w:w="456" w:type="pct"/>
            <w:tcBorders>
              <w:top w:val="single" w:color="auto" w:sz="4" w:space="0"/>
              <w:left w:val="single" w:color="auto" w:sz="4" w:space="0"/>
              <w:bottom w:val="single" w:color="auto" w:sz="4" w:space="0"/>
              <w:right w:val="single" w:color="auto" w:sz="4" w:space="0"/>
            </w:tcBorders>
            <w:vAlign w:val="center"/>
          </w:tcPr>
          <w:p w14:paraId="06D0BA23">
            <w:pPr>
              <w:keepNext w:val="0"/>
              <w:keepLines w:val="0"/>
              <w:pageBreakBefore w:val="0"/>
              <w:kinsoku/>
              <w:wordWrap/>
              <w:overflowPunct/>
              <w:topLinePunct w:val="0"/>
              <w:autoSpaceDE/>
              <w:autoSpaceDN/>
              <w:bidi w:val="0"/>
              <w:adjustRightInd/>
              <w:snapToGrid/>
              <w:spacing w:line="300" w:lineRule="exact"/>
              <w:ind w:firstLine="0"/>
              <w:jc w:val="center"/>
              <w:textAlignment w:val="auto"/>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color w:val="000000"/>
                <w:sz w:val="24"/>
                <w:szCs w:val="24"/>
                <w:lang w:val="en-US" w:eastAsia="zh-CN"/>
              </w:rPr>
              <w:t>15</w:t>
            </w:r>
            <w:r>
              <w:rPr>
                <w:rFonts w:hint="eastAsia" w:ascii="仿宋_GB2312" w:hAnsi="仿宋_GB2312" w:eastAsia="仿宋_GB2312" w:cs="仿宋_GB2312"/>
                <w:b w:val="0"/>
                <w:bCs/>
                <w:color w:val="000000"/>
                <w:sz w:val="24"/>
                <w:szCs w:val="24"/>
              </w:rPr>
              <w:t>分</w:t>
            </w:r>
          </w:p>
        </w:tc>
      </w:tr>
      <w:tr w14:paraId="59DED8AA">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CellMar>
            <w:top w:w="0" w:type="dxa"/>
            <w:left w:w="108" w:type="dxa"/>
            <w:bottom w:w="0" w:type="dxa"/>
            <w:right w:w="108" w:type="dxa"/>
          </w:tblCellMar>
        </w:tblPrEx>
        <w:trPr>
          <w:trHeight w:val="2238" w:hRule="atLeast"/>
        </w:trPr>
        <w:tc>
          <w:tcPr>
            <w:tcW w:w="578" w:type="pct"/>
            <w:tcBorders>
              <w:top w:val="single" w:color="auto" w:sz="4" w:space="0"/>
              <w:left w:val="single" w:color="auto" w:sz="4" w:space="0"/>
              <w:bottom w:val="single" w:color="auto" w:sz="4" w:space="0"/>
              <w:right w:val="single" w:color="auto" w:sz="4" w:space="0"/>
            </w:tcBorders>
            <w:vAlign w:val="center"/>
          </w:tcPr>
          <w:p w14:paraId="4AC7A018">
            <w:pPr>
              <w:keepNext w:val="0"/>
              <w:keepLines w:val="0"/>
              <w:pageBreakBefore w:val="0"/>
              <w:kinsoku/>
              <w:wordWrap/>
              <w:overflowPunct/>
              <w:topLinePunct w:val="0"/>
              <w:autoSpaceDE/>
              <w:autoSpaceDN/>
              <w:bidi w:val="0"/>
              <w:adjustRightInd/>
              <w:snapToGrid/>
              <w:spacing w:line="300" w:lineRule="exact"/>
              <w:ind w:firstLine="0"/>
              <w:jc w:val="center"/>
              <w:textAlignment w:val="auto"/>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color w:val="000000"/>
                <w:sz w:val="24"/>
                <w:szCs w:val="24"/>
              </w:rPr>
              <w:t>4</w:t>
            </w:r>
          </w:p>
        </w:tc>
        <w:tc>
          <w:tcPr>
            <w:tcW w:w="775" w:type="pct"/>
            <w:tcBorders>
              <w:top w:val="single" w:color="auto" w:sz="4" w:space="0"/>
              <w:left w:val="single" w:color="auto" w:sz="4" w:space="0"/>
              <w:bottom w:val="single" w:color="auto" w:sz="4" w:space="0"/>
              <w:right w:val="single" w:color="auto" w:sz="4" w:space="0"/>
            </w:tcBorders>
            <w:vAlign w:val="center"/>
          </w:tcPr>
          <w:p w14:paraId="61B0744B">
            <w:pPr>
              <w:keepNext w:val="0"/>
              <w:keepLines w:val="0"/>
              <w:pageBreakBefore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sz w:val="24"/>
                <w:szCs w:val="24"/>
              </w:rPr>
              <w:t>违约处罚措施</w:t>
            </w:r>
          </w:p>
        </w:tc>
        <w:tc>
          <w:tcPr>
            <w:tcW w:w="3190" w:type="pct"/>
            <w:tcBorders>
              <w:top w:val="single" w:color="auto" w:sz="4" w:space="0"/>
              <w:left w:val="single" w:color="auto" w:sz="4" w:space="0"/>
              <w:bottom w:val="single" w:color="auto" w:sz="4" w:space="0"/>
              <w:right w:val="single" w:color="auto" w:sz="4" w:space="0"/>
            </w:tcBorders>
            <w:vAlign w:val="top"/>
          </w:tcPr>
          <w:p w14:paraId="3F480689">
            <w:pPr>
              <w:keepNext w:val="0"/>
              <w:keepLines w:val="0"/>
              <w:pageBreakBefore w:val="0"/>
              <w:widowControl/>
              <w:kinsoku/>
              <w:wordWrap/>
              <w:overflowPunct/>
              <w:topLinePunct w:val="0"/>
              <w:autoSpaceDE/>
              <w:autoSpaceDN/>
              <w:bidi w:val="0"/>
              <w:adjustRightInd/>
              <w:snapToGrid/>
              <w:spacing w:line="300" w:lineRule="exact"/>
              <w:ind w:firstLine="0"/>
              <w:jc w:val="both"/>
              <w:textAlignment w:val="auto"/>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color w:val="000000"/>
                <w:sz w:val="24"/>
                <w:szCs w:val="24"/>
              </w:rPr>
              <w:t>第一档次：</w:t>
            </w:r>
            <w:r>
              <w:rPr>
                <w:rFonts w:hint="eastAsia" w:ascii="仿宋_GB2312" w:hAnsi="仿宋_GB2312" w:eastAsia="仿宋_GB2312" w:cs="仿宋_GB2312"/>
                <w:sz w:val="24"/>
                <w:szCs w:val="24"/>
              </w:rPr>
              <w:t>针对本项目提出的违约处罚措施全面、具体、针对性强，可行性强的得11-15分</w:t>
            </w:r>
            <w:r>
              <w:rPr>
                <w:rFonts w:hint="eastAsia" w:ascii="仿宋_GB2312" w:hAnsi="仿宋_GB2312" w:eastAsia="仿宋_GB2312" w:cs="仿宋_GB2312"/>
                <w:b w:val="0"/>
                <w:bCs/>
                <w:color w:val="000000"/>
                <w:sz w:val="24"/>
                <w:szCs w:val="24"/>
              </w:rPr>
              <w:t>；</w:t>
            </w:r>
          </w:p>
          <w:p w14:paraId="681781BE">
            <w:pPr>
              <w:keepNext w:val="0"/>
              <w:keepLines w:val="0"/>
              <w:pageBreakBefore w:val="0"/>
              <w:widowControl/>
              <w:kinsoku/>
              <w:wordWrap/>
              <w:overflowPunct/>
              <w:topLinePunct w:val="0"/>
              <w:autoSpaceDE/>
              <w:autoSpaceDN/>
              <w:bidi w:val="0"/>
              <w:adjustRightInd/>
              <w:snapToGrid/>
              <w:spacing w:line="300" w:lineRule="exact"/>
              <w:ind w:firstLine="0"/>
              <w:jc w:val="both"/>
              <w:textAlignment w:val="auto"/>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color w:val="000000"/>
                <w:sz w:val="24"/>
                <w:szCs w:val="24"/>
              </w:rPr>
              <w:t>第二档次：</w:t>
            </w:r>
            <w:r>
              <w:rPr>
                <w:rFonts w:hint="eastAsia" w:ascii="仿宋_GB2312" w:hAnsi="仿宋_GB2312" w:eastAsia="仿宋_GB2312" w:cs="仿宋_GB2312"/>
                <w:sz w:val="24"/>
                <w:szCs w:val="24"/>
              </w:rPr>
              <w:t>针对本项目提出的违约处罚措施基本完整、具有一定针对性，具有一定可行性的得6-10分</w:t>
            </w:r>
            <w:r>
              <w:rPr>
                <w:rFonts w:hint="eastAsia" w:ascii="仿宋_GB2312" w:hAnsi="仿宋_GB2312" w:eastAsia="仿宋_GB2312" w:cs="仿宋_GB2312"/>
                <w:b w:val="0"/>
                <w:bCs/>
                <w:color w:val="000000"/>
                <w:sz w:val="24"/>
                <w:szCs w:val="24"/>
              </w:rPr>
              <w:t>；</w:t>
            </w:r>
          </w:p>
          <w:p w14:paraId="47AFD9A1">
            <w:pPr>
              <w:keepNext w:val="0"/>
              <w:keepLines w:val="0"/>
              <w:pageBreakBefore w:val="0"/>
              <w:widowControl/>
              <w:kinsoku/>
              <w:wordWrap/>
              <w:overflowPunct/>
              <w:topLinePunct w:val="0"/>
              <w:autoSpaceDE/>
              <w:autoSpaceDN/>
              <w:bidi w:val="0"/>
              <w:adjustRightInd/>
              <w:snapToGrid/>
              <w:spacing w:line="300" w:lineRule="exact"/>
              <w:ind w:firstLine="0"/>
              <w:jc w:val="both"/>
              <w:textAlignment w:val="auto"/>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color w:val="000000"/>
                <w:sz w:val="24"/>
                <w:szCs w:val="24"/>
              </w:rPr>
              <w:t>第三档次：</w:t>
            </w:r>
            <w:r>
              <w:rPr>
                <w:rFonts w:hint="eastAsia" w:ascii="仿宋_GB2312" w:hAnsi="仿宋_GB2312" w:eastAsia="仿宋_GB2312" w:cs="仿宋_GB2312"/>
                <w:sz w:val="24"/>
                <w:szCs w:val="24"/>
              </w:rPr>
              <w:t>针对本项目提出的违约处罚措施不明确、缺乏针对性，缺乏可行性的得1-5分</w:t>
            </w:r>
            <w:r>
              <w:rPr>
                <w:rFonts w:hint="eastAsia" w:ascii="仿宋_GB2312" w:hAnsi="仿宋_GB2312" w:eastAsia="仿宋_GB2312" w:cs="仿宋_GB2312"/>
                <w:b w:val="0"/>
                <w:bCs/>
                <w:color w:val="000000"/>
                <w:sz w:val="24"/>
                <w:szCs w:val="24"/>
              </w:rPr>
              <w:t>；</w:t>
            </w:r>
          </w:p>
          <w:p w14:paraId="7414593C">
            <w:pPr>
              <w:pStyle w:val="8"/>
              <w:keepNext w:val="0"/>
              <w:keepLines w:val="0"/>
              <w:pageBreakBefore w:val="0"/>
              <w:kinsoku/>
              <w:wordWrap/>
              <w:overflowPunct/>
              <w:topLinePunct w:val="0"/>
              <w:autoSpaceDE/>
              <w:autoSpaceDN/>
              <w:bidi w:val="0"/>
              <w:adjustRightInd/>
              <w:snapToGrid/>
              <w:spacing w:line="300" w:lineRule="exact"/>
              <w:ind w:firstLine="0"/>
              <w:jc w:val="both"/>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sz w:val="24"/>
                <w:szCs w:val="24"/>
              </w:rPr>
              <w:t>无相关内容不得分</w:t>
            </w:r>
            <w:r>
              <w:rPr>
                <w:rFonts w:hint="eastAsia" w:ascii="仿宋_GB2312" w:hAnsi="仿宋_GB2312" w:eastAsia="仿宋_GB2312" w:cs="仿宋_GB2312"/>
                <w:b w:val="0"/>
                <w:bCs/>
                <w:color w:val="000000"/>
                <w:sz w:val="24"/>
                <w:szCs w:val="24"/>
              </w:rPr>
              <w:t>。</w:t>
            </w:r>
          </w:p>
        </w:tc>
        <w:tc>
          <w:tcPr>
            <w:tcW w:w="456" w:type="pct"/>
            <w:tcBorders>
              <w:top w:val="single" w:color="auto" w:sz="4" w:space="0"/>
              <w:left w:val="single" w:color="auto" w:sz="4" w:space="0"/>
              <w:bottom w:val="single" w:color="auto" w:sz="4" w:space="0"/>
              <w:right w:val="single" w:color="auto" w:sz="4" w:space="0"/>
            </w:tcBorders>
            <w:vAlign w:val="center"/>
          </w:tcPr>
          <w:p w14:paraId="04CF2C18">
            <w:pPr>
              <w:keepNext w:val="0"/>
              <w:keepLines w:val="0"/>
              <w:pageBreakBefore w:val="0"/>
              <w:kinsoku/>
              <w:wordWrap/>
              <w:overflowPunct/>
              <w:topLinePunct w:val="0"/>
              <w:autoSpaceDE/>
              <w:autoSpaceDN/>
              <w:bidi w:val="0"/>
              <w:adjustRightInd/>
              <w:snapToGrid/>
              <w:spacing w:line="300" w:lineRule="exact"/>
              <w:ind w:firstLine="0"/>
              <w:jc w:val="center"/>
              <w:textAlignment w:val="auto"/>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color w:val="000000"/>
                <w:sz w:val="24"/>
                <w:szCs w:val="24"/>
                <w:lang w:val="en-US" w:eastAsia="zh-CN"/>
              </w:rPr>
              <w:t>15</w:t>
            </w:r>
            <w:r>
              <w:rPr>
                <w:rFonts w:hint="eastAsia" w:ascii="仿宋_GB2312" w:hAnsi="仿宋_GB2312" w:eastAsia="仿宋_GB2312" w:cs="仿宋_GB2312"/>
                <w:b w:val="0"/>
                <w:bCs/>
                <w:color w:val="000000"/>
                <w:sz w:val="24"/>
                <w:szCs w:val="24"/>
              </w:rPr>
              <w:t>分</w:t>
            </w:r>
          </w:p>
        </w:tc>
      </w:tr>
      <w:tr w14:paraId="18816A1E">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CellMar>
            <w:top w:w="0" w:type="dxa"/>
            <w:left w:w="108" w:type="dxa"/>
            <w:bottom w:w="0" w:type="dxa"/>
            <w:right w:w="108" w:type="dxa"/>
          </w:tblCellMar>
        </w:tblPrEx>
        <w:trPr>
          <w:trHeight w:val="3765" w:hRule="atLeast"/>
        </w:trPr>
        <w:tc>
          <w:tcPr>
            <w:tcW w:w="578" w:type="pct"/>
            <w:tcBorders>
              <w:top w:val="single" w:color="auto" w:sz="4" w:space="0"/>
              <w:left w:val="single" w:color="auto" w:sz="4" w:space="0"/>
              <w:bottom w:val="single" w:color="auto" w:sz="4" w:space="0"/>
              <w:right w:val="single" w:color="auto" w:sz="4" w:space="0"/>
            </w:tcBorders>
            <w:vAlign w:val="center"/>
          </w:tcPr>
          <w:p w14:paraId="2AEFAA4E">
            <w:pPr>
              <w:keepNext w:val="0"/>
              <w:keepLines w:val="0"/>
              <w:pageBreakBefore w:val="0"/>
              <w:kinsoku/>
              <w:wordWrap/>
              <w:overflowPunct/>
              <w:topLinePunct w:val="0"/>
              <w:autoSpaceDE/>
              <w:autoSpaceDN/>
              <w:bidi w:val="0"/>
              <w:adjustRightInd/>
              <w:snapToGrid/>
              <w:spacing w:line="300" w:lineRule="exact"/>
              <w:ind w:firstLine="0"/>
              <w:jc w:val="center"/>
              <w:textAlignment w:val="auto"/>
              <w:rPr>
                <w:rFonts w:hint="eastAsia" w:ascii="仿宋_GB2312" w:hAnsi="仿宋_GB2312" w:eastAsia="仿宋_GB2312" w:cs="仿宋_GB2312"/>
                <w:b w:val="0"/>
                <w:bCs/>
                <w:color w:val="000000"/>
                <w:sz w:val="24"/>
                <w:szCs w:val="24"/>
                <w:lang w:val="en-US" w:eastAsia="zh-CN"/>
              </w:rPr>
            </w:pPr>
            <w:r>
              <w:rPr>
                <w:rFonts w:hint="eastAsia" w:ascii="仿宋_GB2312" w:hAnsi="仿宋_GB2312" w:eastAsia="仿宋_GB2312" w:cs="仿宋_GB2312"/>
                <w:b w:val="0"/>
                <w:bCs/>
                <w:color w:val="000000"/>
                <w:sz w:val="24"/>
                <w:szCs w:val="24"/>
                <w:lang w:val="en-US" w:eastAsia="zh-CN"/>
              </w:rPr>
              <w:t>5</w:t>
            </w:r>
          </w:p>
        </w:tc>
        <w:tc>
          <w:tcPr>
            <w:tcW w:w="775" w:type="pct"/>
            <w:tcBorders>
              <w:top w:val="single" w:color="auto" w:sz="4" w:space="0"/>
              <w:left w:val="single" w:color="auto" w:sz="4" w:space="0"/>
              <w:bottom w:val="single" w:color="auto" w:sz="4" w:space="0"/>
              <w:right w:val="single" w:color="auto" w:sz="4" w:space="0"/>
            </w:tcBorders>
            <w:vAlign w:val="center"/>
          </w:tcPr>
          <w:p w14:paraId="13F0555D">
            <w:pPr>
              <w:keepNext w:val="0"/>
              <w:keepLines w:val="0"/>
              <w:pageBreakBefore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color w:val="000000"/>
                <w:sz w:val="24"/>
                <w:szCs w:val="24"/>
              </w:rPr>
              <w:t>项目实施团队</w:t>
            </w:r>
          </w:p>
        </w:tc>
        <w:tc>
          <w:tcPr>
            <w:tcW w:w="3190" w:type="pct"/>
            <w:tcBorders>
              <w:top w:val="single" w:color="auto" w:sz="4" w:space="0"/>
              <w:left w:val="single" w:color="auto" w:sz="4" w:space="0"/>
              <w:bottom w:val="single" w:color="auto" w:sz="4" w:space="0"/>
              <w:right w:val="single" w:color="auto" w:sz="4" w:space="0"/>
            </w:tcBorders>
            <w:vAlign w:val="center"/>
          </w:tcPr>
          <w:p w14:paraId="302C4D52">
            <w:pPr>
              <w:keepNext w:val="0"/>
              <w:keepLines w:val="0"/>
              <w:pageBreakBefore w:val="0"/>
              <w:widowControl/>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color w:val="000000"/>
                <w:sz w:val="24"/>
                <w:szCs w:val="24"/>
              </w:rPr>
              <w:t>第一档次：</w:t>
            </w:r>
            <w:r>
              <w:rPr>
                <w:rFonts w:hint="eastAsia" w:ascii="仿宋_GB2312" w:hAnsi="仿宋_GB2312" w:eastAsia="仿宋_GB2312" w:cs="仿宋_GB2312"/>
                <w:color w:val="000000"/>
                <w:sz w:val="24"/>
                <w:szCs w:val="24"/>
              </w:rPr>
              <w:t>项目实施团队人员符合招标文件要求，项目实施团队配置合理、可行，并有完善的团队人员配备，岗位分工明确的得7-10分</w:t>
            </w:r>
            <w:r>
              <w:rPr>
                <w:rFonts w:hint="eastAsia" w:ascii="仿宋_GB2312" w:hAnsi="仿宋_GB2312" w:eastAsia="仿宋_GB2312" w:cs="仿宋_GB2312"/>
                <w:b w:val="0"/>
                <w:bCs/>
                <w:color w:val="000000"/>
                <w:sz w:val="24"/>
                <w:szCs w:val="24"/>
              </w:rPr>
              <w:t>；</w:t>
            </w:r>
          </w:p>
          <w:p w14:paraId="0BF64397">
            <w:pPr>
              <w:keepNext w:val="0"/>
              <w:keepLines w:val="0"/>
              <w:pageBreakBefore w:val="0"/>
              <w:widowControl/>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color w:val="000000"/>
                <w:sz w:val="24"/>
                <w:szCs w:val="24"/>
              </w:rPr>
              <w:t>第二档次：</w:t>
            </w:r>
            <w:r>
              <w:rPr>
                <w:rFonts w:hint="eastAsia" w:ascii="仿宋_GB2312" w:hAnsi="仿宋_GB2312" w:eastAsia="仿宋_GB2312" w:cs="仿宋_GB2312"/>
                <w:color w:val="000000"/>
                <w:sz w:val="24"/>
                <w:szCs w:val="24"/>
              </w:rPr>
              <w:t>项目实施团队人员符合招标文件要求，项目实施团队配置基本合理，有完善的团队，岗位分工较明确的得4-6分</w:t>
            </w:r>
            <w:r>
              <w:rPr>
                <w:rFonts w:hint="eastAsia" w:ascii="仿宋_GB2312" w:hAnsi="仿宋_GB2312" w:eastAsia="仿宋_GB2312" w:cs="仿宋_GB2312"/>
                <w:b w:val="0"/>
                <w:bCs/>
                <w:color w:val="000000"/>
                <w:sz w:val="24"/>
                <w:szCs w:val="24"/>
              </w:rPr>
              <w:t>；</w:t>
            </w:r>
          </w:p>
          <w:p w14:paraId="70964468">
            <w:pPr>
              <w:pStyle w:val="8"/>
              <w:keepNext w:val="0"/>
              <w:keepLines w:val="0"/>
              <w:pageBreakBefore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b w:val="0"/>
                <w:bCs/>
                <w:color w:val="000000"/>
                <w:sz w:val="24"/>
                <w:szCs w:val="24"/>
                <w:lang w:eastAsia="zh-CN"/>
              </w:rPr>
            </w:pPr>
            <w:r>
              <w:rPr>
                <w:rFonts w:hint="eastAsia" w:ascii="仿宋_GB2312" w:hAnsi="仿宋_GB2312" w:eastAsia="仿宋_GB2312" w:cs="仿宋_GB2312"/>
                <w:b w:val="0"/>
                <w:bCs/>
                <w:color w:val="000000"/>
                <w:sz w:val="24"/>
                <w:szCs w:val="24"/>
              </w:rPr>
              <w:t>第三档次：</w:t>
            </w:r>
            <w:r>
              <w:rPr>
                <w:rFonts w:hint="eastAsia" w:ascii="仿宋_GB2312" w:hAnsi="仿宋_GB2312" w:eastAsia="仿宋_GB2312" w:cs="仿宋_GB2312"/>
                <w:color w:val="000000"/>
                <w:sz w:val="24"/>
                <w:szCs w:val="24"/>
              </w:rPr>
              <w:t>项目实施团队人员符合招标文件要求，项目实施团队配置不合理或团队不完善，岗位分工不明确的得1-3分</w:t>
            </w:r>
            <w:r>
              <w:rPr>
                <w:rFonts w:hint="eastAsia" w:ascii="仿宋_GB2312" w:hAnsi="仿宋_GB2312" w:eastAsia="仿宋_GB2312" w:cs="仿宋_GB2312"/>
                <w:b w:val="0"/>
                <w:bCs/>
                <w:color w:val="000000"/>
                <w:sz w:val="24"/>
                <w:szCs w:val="24"/>
                <w:lang w:eastAsia="zh-CN"/>
              </w:rPr>
              <w:t>；</w:t>
            </w:r>
          </w:p>
          <w:p w14:paraId="726A7AE0">
            <w:pPr>
              <w:keepNext w:val="0"/>
              <w:keepLines w:val="0"/>
              <w:pageBreakBefore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color w:val="000000"/>
                <w:sz w:val="24"/>
                <w:szCs w:val="24"/>
              </w:rPr>
              <w:t>无项目实施团队或项目实施团队人员不符合招标文件要求的不得分。（提供以上人员劳动合同或社保证明材料，复印件加盖公章，否则不予认可）</w:t>
            </w:r>
          </w:p>
        </w:tc>
        <w:tc>
          <w:tcPr>
            <w:tcW w:w="456" w:type="pct"/>
            <w:tcBorders>
              <w:top w:val="single" w:color="auto" w:sz="4" w:space="0"/>
              <w:left w:val="single" w:color="auto" w:sz="4" w:space="0"/>
              <w:bottom w:val="single" w:color="auto" w:sz="4" w:space="0"/>
              <w:right w:val="single" w:color="auto" w:sz="4" w:space="0"/>
            </w:tcBorders>
            <w:vAlign w:val="center"/>
          </w:tcPr>
          <w:p w14:paraId="5B573029">
            <w:pPr>
              <w:keepNext w:val="0"/>
              <w:keepLines w:val="0"/>
              <w:pageBreakBefore w:val="0"/>
              <w:kinsoku/>
              <w:wordWrap/>
              <w:overflowPunct/>
              <w:topLinePunct w:val="0"/>
              <w:autoSpaceDE/>
              <w:autoSpaceDN/>
              <w:bidi w:val="0"/>
              <w:adjustRightInd/>
              <w:snapToGrid/>
              <w:spacing w:line="300" w:lineRule="exact"/>
              <w:ind w:firstLine="0"/>
              <w:jc w:val="center"/>
              <w:textAlignment w:val="auto"/>
              <w:rPr>
                <w:rFonts w:hint="eastAsia" w:ascii="仿宋_GB2312" w:hAnsi="仿宋_GB2312" w:eastAsia="仿宋_GB2312" w:cs="仿宋_GB2312"/>
                <w:b w:val="0"/>
                <w:bCs/>
                <w:color w:val="000000"/>
                <w:sz w:val="24"/>
                <w:szCs w:val="24"/>
                <w:lang w:val="en-US" w:eastAsia="zh-CN"/>
              </w:rPr>
            </w:pPr>
            <w:r>
              <w:rPr>
                <w:rFonts w:hint="eastAsia" w:ascii="仿宋_GB2312" w:hAnsi="仿宋_GB2312" w:eastAsia="仿宋_GB2312" w:cs="仿宋_GB2312"/>
                <w:b w:val="0"/>
                <w:bCs/>
                <w:color w:val="000000"/>
                <w:sz w:val="24"/>
                <w:szCs w:val="24"/>
                <w:lang w:val="en-US" w:eastAsia="zh-CN"/>
              </w:rPr>
              <w:t>10分</w:t>
            </w:r>
          </w:p>
        </w:tc>
      </w:tr>
      <w:tr w14:paraId="49C620D3">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CellMar>
            <w:top w:w="0" w:type="dxa"/>
            <w:left w:w="108" w:type="dxa"/>
            <w:bottom w:w="0" w:type="dxa"/>
            <w:right w:w="108" w:type="dxa"/>
          </w:tblCellMar>
        </w:tblPrEx>
        <w:trPr>
          <w:trHeight w:val="2265" w:hRule="atLeast"/>
        </w:trPr>
        <w:tc>
          <w:tcPr>
            <w:tcW w:w="578" w:type="pct"/>
            <w:tcBorders>
              <w:top w:val="single" w:color="auto" w:sz="4" w:space="0"/>
              <w:left w:val="single" w:color="auto" w:sz="4" w:space="0"/>
              <w:bottom w:val="single" w:color="auto" w:sz="4" w:space="0"/>
              <w:right w:val="single" w:color="auto" w:sz="4" w:space="0"/>
            </w:tcBorders>
            <w:vAlign w:val="center"/>
          </w:tcPr>
          <w:p w14:paraId="1971E38A">
            <w:pPr>
              <w:keepNext w:val="0"/>
              <w:keepLines w:val="0"/>
              <w:pageBreakBefore w:val="0"/>
              <w:kinsoku/>
              <w:wordWrap/>
              <w:overflowPunct/>
              <w:topLinePunct w:val="0"/>
              <w:autoSpaceDE/>
              <w:autoSpaceDN/>
              <w:bidi w:val="0"/>
              <w:adjustRightInd/>
              <w:snapToGrid/>
              <w:spacing w:line="300" w:lineRule="exact"/>
              <w:ind w:firstLine="0"/>
              <w:jc w:val="center"/>
              <w:textAlignment w:val="auto"/>
              <w:rPr>
                <w:rFonts w:hint="eastAsia" w:ascii="仿宋_GB2312" w:hAnsi="仿宋_GB2312" w:eastAsia="仿宋_GB2312" w:cs="仿宋_GB2312"/>
                <w:b w:val="0"/>
                <w:bCs/>
                <w:color w:val="000000"/>
                <w:sz w:val="24"/>
                <w:szCs w:val="24"/>
                <w:lang w:val="en-US" w:eastAsia="zh-CN"/>
              </w:rPr>
            </w:pPr>
            <w:r>
              <w:rPr>
                <w:rFonts w:hint="eastAsia" w:ascii="仿宋_GB2312" w:hAnsi="仿宋_GB2312" w:eastAsia="仿宋_GB2312" w:cs="仿宋_GB2312"/>
                <w:b w:val="0"/>
                <w:bCs/>
                <w:color w:val="000000"/>
                <w:sz w:val="24"/>
                <w:szCs w:val="24"/>
                <w:lang w:val="en-US" w:eastAsia="zh-CN"/>
              </w:rPr>
              <w:t>6</w:t>
            </w:r>
          </w:p>
        </w:tc>
        <w:tc>
          <w:tcPr>
            <w:tcW w:w="775" w:type="pct"/>
            <w:tcBorders>
              <w:top w:val="single" w:color="auto" w:sz="4" w:space="0"/>
              <w:left w:val="single" w:color="auto" w:sz="4" w:space="0"/>
              <w:bottom w:val="single" w:color="auto" w:sz="4" w:space="0"/>
              <w:right w:val="single" w:color="auto" w:sz="4" w:space="0"/>
            </w:tcBorders>
            <w:vAlign w:val="center"/>
          </w:tcPr>
          <w:p w14:paraId="79B80CCE">
            <w:pPr>
              <w:keepNext w:val="0"/>
              <w:keepLines w:val="0"/>
              <w:pageBreakBefore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color w:val="000000"/>
                <w:sz w:val="24"/>
                <w:szCs w:val="24"/>
              </w:rPr>
              <w:t>机械设备配置</w:t>
            </w:r>
          </w:p>
        </w:tc>
        <w:tc>
          <w:tcPr>
            <w:tcW w:w="3190" w:type="pct"/>
            <w:tcBorders>
              <w:top w:val="single" w:color="auto" w:sz="4" w:space="0"/>
              <w:left w:val="single" w:color="auto" w:sz="4" w:space="0"/>
              <w:bottom w:val="single" w:color="auto" w:sz="4" w:space="0"/>
              <w:right w:val="single" w:color="auto" w:sz="4" w:space="0"/>
            </w:tcBorders>
            <w:vAlign w:val="center"/>
          </w:tcPr>
          <w:p w14:paraId="1C8F082B">
            <w:pPr>
              <w:pStyle w:val="8"/>
              <w:keepNext w:val="0"/>
              <w:keepLines w:val="0"/>
              <w:pageBreakBefore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b w:val="0"/>
                <w:bCs/>
                <w:color w:val="000000"/>
                <w:sz w:val="24"/>
                <w:szCs w:val="24"/>
              </w:rPr>
              <w:t>第一档次：</w:t>
            </w:r>
            <w:r>
              <w:rPr>
                <w:rFonts w:hint="eastAsia" w:ascii="仿宋_GB2312" w:hAnsi="仿宋_GB2312" w:eastAsia="仿宋_GB2312" w:cs="仿宋_GB2312"/>
                <w:color w:val="000000"/>
                <w:sz w:val="24"/>
                <w:szCs w:val="24"/>
              </w:rPr>
              <w:t>实际工作中拟投入的机械设备符合项目需求，实用性强，且清运数量能够满足或优于项目要求，保证服务质量的得7-10分</w:t>
            </w:r>
            <w:r>
              <w:rPr>
                <w:rFonts w:hint="eastAsia" w:ascii="仿宋_GB2312" w:hAnsi="仿宋_GB2312" w:eastAsia="仿宋_GB2312" w:cs="仿宋_GB2312"/>
                <w:color w:val="000000"/>
                <w:sz w:val="24"/>
                <w:szCs w:val="24"/>
                <w:lang w:eastAsia="zh-CN"/>
              </w:rPr>
              <w:t>；</w:t>
            </w:r>
          </w:p>
          <w:p w14:paraId="6F33B3FB">
            <w:pPr>
              <w:pStyle w:val="8"/>
              <w:keepNext w:val="0"/>
              <w:keepLines w:val="0"/>
              <w:pageBreakBefore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b w:val="0"/>
                <w:bCs/>
                <w:color w:val="000000"/>
                <w:sz w:val="24"/>
                <w:szCs w:val="24"/>
                <w:lang w:eastAsia="zh-CN"/>
              </w:rPr>
            </w:pPr>
            <w:r>
              <w:rPr>
                <w:rFonts w:hint="eastAsia" w:ascii="仿宋_GB2312" w:hAnsi="仿宋_GB2312" w:eastAsia="仿宋_GB2312" w:cs="仿宋_GB2312"/>
                <w:b w:val="0"/>
                <w:bCs/>
                <w:color w:val="000000"/>
                <w:sz w:val="24"/>
                <w:szCs w:val="24"/>
              </w:rPr>
              <w:t>第二档次：</w:t>
            </w:r>
            <w:r>
              <w:rPr>
                <w:rFonts w:hint="eastAsia" w:ascii="仿宋_GB2312" w:hAnsi="仿宋_GB2312" w:eastAsia="仿宋_GB2312" w:cs="仿宋_GB2312"/>
                <w:color w:val="000000"/>
                <w:sz w:val="24"/>
                <w:szCs w:val="24"/>
              </w:rPr>
              <w:t>实际工作中拟投入的机械设备基本符合项目需求，实用性一般，且清运数量基本满足项目要求，基本保证服务质量的得4-6分</w:t>
            </w:r>
            <w:r>
              <w:rPr>
                <w:rFonts w:hint="eastAsia" w:ascii="仿宋_GB2312" w:hAnsi="仿宋_GB2312" w:eastAsia="仿宋_GB2312" w:cs="仿宋_GB2312"/>
                <w:color w:val="000000"/>
                <w:sz w:val="24"/>
                <w:szCs w:val="24"/>
                <w:lang w:eastAsia="zh-CN"/>
              </w:rPr>
              <w:t>；</w:t>
            </w:r>
          </w:p>
          <w:p w14:paraId="14F266B9">
            <w:pPr>
              <w:pStyle w:val="8"/>
              <w:keepNext w:val="0"/>
              <w:keepLines w:val="0"/>
              <w:pageBreakBefore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b w:val="0"/>
                <w:bCs/>
                <w:color w:val="000000"/>
                <w:sz w:val="24"/>
                <w:szCs w:val="24"/>
                <w:lang w:eastAsia="zh-CN"/>
              </w:rPr>
            </w:pPr>
            <w:r>
              <w:rPr>
                <w:rFonts w:hint="eastAsia" w:ascii="仿宋_GB2312" w:hAnsi="仿宋_GB2312" w:eastAsia="仿宋_GB2312" w:cs="仿宋_GB2312"/>
                <w:b w:val="0"/>
                <w:bCs/>
                <w:color w:val="000000"/>
                <w:sz w:val="24"/>
                <w:szCs w:val="24"/>
              </w:rPr>
              <w:t>第三档次：</w:t>
            </w:r>
            <w:r>
              <w:rPr>
                <w:rFonts w:hint="eastAsia" w:ascii="仿宋_GB2312" w:hAnsi="仿宋_GB2312" w:eastAsia="仿宋_GB2312" w:cs="仿宋_GB2312"/>
                <w:color w:val="000000"/>
                <w:sz w:val="24"/>
                <w:szCs w:val="24"/>
              </w:rPr>
              <w:t>实际工作中拟投入的机械设备不符合项目需求，且清运数量不能满足项目要求，不能保证服务质量的得1-3分。</w:t>
            </w:r>
            <w:r>
              <w:rPr>
                <w:rFonts w:hint="eastAsia" w:ascii="仿宋_GB2312" w:hAnsi="仿宋_GB2312" w:eastAsia="仿宋_GB2312" w:cs="仿宋_GB2312"/>
                <w:color w:val="000000"/>
                <w:sz w:val="24"/>
                <w:szCs w:val="24"/>
                <w:lang w:eastAsia="zh-CN"/>
              </w:rPr>
              <w:t>；</w:t>
            </w:r>
          </w:p>
        </w:tc>
        <w:tc>
          <w:tcPr>
            <w:tcW w:w="456" w:type="pct"/>
            <w:tcBorders>
              <w:top w:val="single" w:color="auto" w:sz="4" w:space="0"/>
              <w:left w:val="single" w:color="auto" w:sz="4" w:space="0"/>
              <w:bottom w:val="single" w:color="auto" w:sz="4" w:space="0"/>
              <w:right w:val="single" w:color="auto" w:sz="4" w:space="0"/>
            </w:tcBorders>
            <w:vAlign w:val="center"/>
          </w:tcPr>
          <w:p w14:paraId="1B1FD38D">
            <w:pPr>
              <w:keepNext w:val="0"/>
              <w:keepLines w:val="0"/>
              <w:pageBreakBefore w:val="0"/>
              <w:kinsoku/>
              <w:wordWrap/>
              <w:overflowPunct/>
              <w:topLinePunct w:val="0"/>
              <w:autoSpaceDE/>
              <w:autoSpaceDN/>
              <w:bidi w:val="0"/>
              <w:adjustRightInd/>
              <w:snapToGrid/>
              <w:spacing w:line="300" w:lineRule="exact"/>
              <w:ind w:firstLine="0"/>
              <w:jc w:val="center"/>
              <w:textAlignment w:val="auto"/>
              <w:rPr>
                <w:rFonts w:hint="eastAsia" w:ascii="仿宋_GB2312" w:hAnsi="仿宋_GB2312" w:eastAsia="仿宋_GB2312" w:cs="仿宋_GB2312"/>
                <w:b w:val="0"/>
                <w:bCs/>
                <w:color w:val="000000"/>
                <w:sz w:val="24"/>
                <w:szCs w:val="24"/>
                <w:lang w:val="en-US" w:eastAsia="zh-CN"/>
              </w:rPr>
            </w:pPr>
            <w:r>
              <w:rPr>
                <w:rFonts w:hint="eastAsia" w:ascii="仿宋_GB2312" w:hAnsi="仿宋_GB2312" w:eastAsia="仿宋_GB2312" w:cs="仿宋_GB2312"/>
                <w:b w:val="0"/>
                <w:bCs/>
                <w:color w:val="000000"/>
                <w:sz w:val="24"/>
                <w:szCs w:val="24"/>
                <w:lang w:val="en-US" w:eastAsia="zh-CN"/>
              </w:rPr>
              <w:t>10分</w:t>
            </w:r>
          </w:p>
        </w:tc>
      </w:tr>
      <w:tr w14:paraId="7AB814D3">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CellMar>
            <w:top w:w="0" w:type="dxa"/>
            <w:left w:w="108" w:type="dxa"/>
            <w:bottom w:w="0" w:type="dxa"/>
            <w:right w:w="108" w:type="dxa"/>
          </w:tblCellMar>
        </w:tblPrEx>
        <w:trPr>
          <w:trHeight w:val="2265" w:hRule="atLeast"/>
        </w:trPr>
        <w:tc>
          <w:tcPr>
            <w:tcW w:w="578" w:type="pct"/>
            <w:tcBorders>
              <w:top w:val="single" w:color="auto" w:sz="4" w:space="0"/>
              <w:left w:val="single" w:color="auto" w:sz="4" w:space="0"/>
              <w:bottom w:val="single" w:color="auto" w:sz="4" w:space="0"/>
              <w:right w:val="single" w:color="auto" w:sz="4" w:space="0"/>
            </w:tcBorders>
            <w:vAlign w:val="center"/>
          </w:tcPr>
          <w:p w14:paraId="1BAE2752">
            <w:pPr>
              <w:keepNext w:val="0"/>
              <w:keepLines w:val="0"/>
              <w:pageBreakBefore w:val="0"/>
              <w:kinsoku/>
              <w:wordWrap/>
              <w:overflowPunct/>
              <w:topLinePunct w:val="0"/>
              <w:autoSpaceDE/>
              <w:autoSpaceDN/>
              <w:bidi w:val="0"/>
              <w:adjustRightInd/>
              <w:snapToGrid/>
              <w:spacing w:line="300" w:lineRule="exact"/>
              <w:ind w:firstLine="0"/>
              <w:jc w:val="center"/>
              <w:textAlignment w:val="auto"/>
              <w:rPr>
                <w:rFonts w:hint="eastAsia" w:ascii="仿宋_GB2312" w:hAnsi="仿宋_GB2312" w:eastAsia="仿宋_GB2312" w:cs="仿宋_GB2312"/>
                <w:b w:val="0"/>
                <w:bCs/>
                <w:color w:val="000000"/>
                <w:sz w:val="24"/>
                <w:szCs w:val="24"/>
                <w:lang w:val="en-US" w:eastAsia="zh-CN"/>
              </w:rPr>
            </w:pPr>
            <w:r>
              <w:rPr>
                <w:rFonts w:hint="eastAsia" w:ascii="仿宋_GB2312" w:hAnsi="仿宋_GB2312" w:eastAsia="仿宋_GB2312" w:cs="仿宋_GB2312"/>
                <w:b w:val="0"/>
                <w:bCs/>
                <w:color w:val="000000"/>
                <w:sz w:val="24"/>
                <w:szCs w:val="24"/>
                <w:lang w:val="en-US" w:eastAsia="zh-CN"/>
              </w:rPr>
              <w:t>7</w:t>
            </w:r>
          </w:p>
        </w:tc>
        <w:tc>
          <w:tcPr>
            <w:tcW w:w="775" w:type="pct"/>
            <w:tcBorders>
              <w:top w:val="single" w:color="auto" w:sz="4" w:space="0"/>
              <w:left w:val="single" w:color="auto" w:sz="4" w:space="0"/>
              <w:bottom w:val="single" w:color="auto" w:sz="4" w:space="0"/>
              <w:right w:val="single" w:color="auto" w:sz="4" w:space="0"/>
            </w:tcBorders>
            <w:shd w:val="clear" w:color="auto" w:fill="auto"/>
            <w:vAlign w:val="center"/>
          </w:tcPr>
          <w:p w14:paraId="02CFD60B">
            <w:pPr>
              <w:keepNext w:val="0"/>
              <w:keepLines w:val="0"/>
              <w:pageBreakBefore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sz w:val="24"/>
                <w:szCs w:val="24"/>
              </w:rPr>
              <w:t>类似业绩</w:t>
            </w:r>
          </w:p>
        </w:tc>
        <w:tc>
          <w:tcPr>
            <w:tcW w:w="3190" w:type="pct"/>
            <w:tcBorders>
              <w:top w:val="single" w:color="auto" w:sz="4" w:space="0"/>
              <w:left w:val="single" w:color="auto" w:sz="4" w:space="0"/>
              <w:bottom w:val="single" w:color="auto" w:sz="4" w:space="0"/>
              <w:right w:val="single" w:color="auto" w:sz="4" w:space="0"/>
            </w:tcBorders>
            <w:shd w:val="clear" w:color="auto" w:fill="auto"/>
            <w:vAlign w:val="center"/>
          </w:tcPr>
          <w:p w14:paraId="592A9CD0">
            <w:pPr>
              <w:pStyle w:val="29"/>
              <w:keepNext w:val="0"/>
              <w:keepLines w:val="0"/>
              <w:pageBreakBefore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在满足资格要求的基础上，申请人应提供2023年至本项目报价文件提交截止时间前已完成或正在实施的类似项目业绩，每提供1个有效类似业绩的得2分，分数加满为止。（提供业绩证明材料，业绩证明材料是指：合同协议书或中标通知书或业主证明等证明材料复印件，否则不予认可）</w:t>
            </w:r>
          </w:p>
        </w:tc>
        <w:tc>
          <w:tcPr>
            <w:tcW w:w="456" w:type="pct"/>
            <w:tcBorders>
              <w:top w:val="single" w:color="auto" w:sz="4" w:space="0"/>
              <w:left w:val="single" w:color="auto" w:sz="4" w:space="0"/>
              <w:bottom w:val="single" w:color="auto" w:sz="4" w:space="0"/>
              <w:right w:val="single" w:color="auto" w:sz="4" w:space="0"/>
            </w:tcBorders>
            <w:vAlign w:val="center"/>
          </w:tcPr>
          <w:p w14:paraId="53825973">
            <w:pPr>
              <w:keepNext w:val="0"/>
              <w:keepLines w:val="0"/>
              <w:pageBreakBefore w:val="0"/>
              <w:kinsoku/>
              <w:wordWrap/>
              <w:overflowPunct/>
              <w:topLinePunct w:val="0"/>
              <w:autoSpaceDE/>
              <w:autoSpaceDN/>
              <w:bidi w:val="0"/>
              <w:adjustRightInd/>
              <w:snapToGrid/>
              <w:spacing w:line="300" w:lineRule="exact"/>
              <w:ind w:firstLine="0"/>
              <w:jc w:val="center"/>
              <w:textAlignment w:val="auto"/>
              <w:rPr>
                <w:rFonts w:hint="eastAsia" w:ascii="仿宋_GB2312" w:hAnsi="仿宋_GB2312" w:eastAsia="仿宋_GB2312" w:cs="仿宋_GB2312"/>
                <w:b w:val="0"/>
                <w:bCs/>
                <w:color w:val="000000"/>
                <w:sz w:val="24"/>
                <w:szCs w:val="24"/>
                <w:lang w:val="en-US" w:eastAsia="zh-CN"/>
              </w:rPr>
            </w:pPr>
            <w:r>
              <w:rPr>
                <w:rFonts w:hint="eastAsia" w:ascii="仿宋_GB2312" w:hAnsi="仿宋_GB2312" w:eastAsia="仿宋_GB2312" w:cs="仿宋_GB2312"/>
                <w:b w:val="0"/>
                <w:bCs/>
                <w:color w:val="000000"/>
                <w:sz w:val="24"/>
                <w:szCs w:val="24"/>
                <w:lang w:val="en-US" w:eastAsia="zh-CN"/>
              </w:rPr>
              <w:t>10分</w:t>
            </w:r>
          </w:p>
        </w:tc>
      </w:tr>
      <w:bookmarkEnd w:id="2"/>
    </w:tbl>
    <w:p w14:paraId="1FEEA5E5">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黑体" w:hAnsi="黑体" w:eastAsia="黑体" w:cs="黑体"/>
          <w:bCs/>
          <w:sz w:val="32"/>
          <w:szCs w:val="32"/>
        </w:rPr>
      </w:pPr>
      <w:r>
        <w:rPr>
          <w:rFonts w:hint="eastAsia" w:ascii="黑体" w:hAnsi="黑体" w:eastAsia="黑体" w:cs="黑体"/>
          <w:bCs/>
          <w:sz w:val="32"/>
          <w:szCs w:val="32"/>
        </w:rPr>
        <w:t>9.监督部门</w:t>
      </w:r>
    </w:p>
    <w:p w14:paraId="30FC37D6">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昆明城市污水处理运营有限责任公司</w:t>
      </w:r>
      <w:r>
        <w:rPr>
          <w:rFonts w:hint="eastAsia" w:ascii="仿宋_GB2312" w:hAnsi="仿宋_GB2312" w:eastAsia="仿宋_GB2312" w:cs="仿宋_GB2312"/>
          <w:bCs/>
          <w:sz w:val="32"/>
          <w:szCs w:val="32"/>
          <w:lang w:val="en-US" w:eastAsia="zh-CN"/>
        </w:rPr>
        <w:t>纪检监察室</w:t>
      </w:r>
      <w:r>
        <w:rPr>
          <w:rFonts w:hint="eastAsia" w:ascii="仿宋_GB2312" w:hAnsi="仿宋_GB2312" w:eastAsia="仿宋_GB2312" w:cs="仿宋_GB2312"/>
          <w:bCs/>
          <w:sz w:val="32"/>
          <w:szCs w:val="32"/>
        </w:rPr>
        <w:t>。</w:t>
      </w:r>
    </w:p>
    <w:p w14:paraId="391EA7F8">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黑体" w:hAnsi="黑体" w:eastAsia="黑体" w:cs="黑体"/>
          <w:bCs/>
          <w:sz w:val="32"/>
          <w:szCs w:val="32"/>
        </w:rPr>
      </w:pPr>
      <w:r>
        <w:rPr>
          <w:rFonts w:hint="eastAsia" w:ascii="黑体" w:hAnsi="黑体" w:eastAsia="黑体" w:cs="黑体"/>
          <w:bCs/>
          <w:sz w:val="32"/>
          <w:szCs w:val="32"/>
        </w:rPr>
        <w:t>10.发布公告的媒介</w:t>
      </w:r>
    </w:p>
    <w:p w14:paraId="6123FC06">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本次询价比选公告在昆明滇池水务股份有限公司（www.kmdcwt.com）网站发布，采购人对其他网站或媒体转载的公告及公告内容不承担任何责任。</w:t>
      </w:r>
    </w:p>
    <w:p w14:paraId="560C25E7">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left"/>
        <w:textAlignment w:val="auto"/>
        <w:rPr>
          <w:rFonts w:ascii="黑体" w:hAnsi="黑体" w:eastAsia="黑体" w:cs="黑体"/>
          <w:bCs/>
          <w:sz w:val="32"/>
          <w:szCs w:val="32"/>
        </w:rPr>
      </w:pPr>
      <w:r>
        <w:rPr>
          <w:rFonts w:hint="eastAsia" w:ascii="黑体" w:hAnsi="黑体" w:eastAsia="黑体" w:cs="黑体"/>
          <w:bCs/>
          <w:sz w:val="32"/>
          <w:szCs w:val="32"/>
        </w:rPr>
        <w:t>11.签约、履约</w:t>
      </w:r>
    </w:p>
    <w:p w14:paraId="64E26DA4">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left"/>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11.1中标方不得将中标项目转让给他人，也不得将中标项目肢解后转让给他人。</w:t>
      </w:r>
    </w:p>
    <w:p w14:paraId="1AE1F8A3">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left"/>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11.2收到中标通知后，采购人和中标方应当自中标通知书发出之日起30 天内签订合同，中标人无正当理由拒签合同的，采购人取消其中标资格，给采购人造成损失的，中标人还应当予以赔偿。</w:t>
      </w:r>
    </w:p>
    <w:p w14:paraId="64116BC1">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left"/>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11.3合同签订后，合作双方应严格按合同履行。</w:t>
      </w:r>
    </w:p>
    <w:p w14:paraId="1985504E">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left"/>
        <w:textAlignment w:val="auto"/>
        <w:rPr>
          <w:rFonts w:hint="eastAsia" w:ascii="黑体" w:hAnsi="黑体" w:eastAsia="黑体" w:cs="黑体"/>
          <w:bCs/>
          <w:sz w:val="32"/>
          <w:szCs w:val="32"/>
        </w:rPr>
      </w:pPr>
      <w:r>
        <w:rPr>
          <w:rFonts w:hint="eastAsia" w:ascii="黑体" w:hAnsi="黑体" w:eastAsia="黑体" w:cs="黑体"/>
          <w:bCs/>
          <w:sz w:val="32"/>
          <w:szCs w:val="32"/>
        </w:rPr>
        <w:t>12. 报价文件的递交</w:t>
      </w:r>
    </w:p>
    <w:p w14:paraId="193E162D">
      <w:pPr>
        <w:pStyle w:val="2"/>
        <w:keepNext w:val="0"/>
        <w:keepLines w:val="0"/>
        <w:pageBreakBefore w:val="0"/>
        <w:widowControl w:val="0"/>
        <w:kinsoku/>
        <w:wordWrap/>
        <w:overflowPunct/>
        <w:topLinePunct w:val="0"/>
        <w:autoSpaceDE/>
        <w:autoSpaceDN/>
        <w:bidi w:val="0"/>
        <w:spacing w:after="0" w:line="520" w:lineRule="exact"/>
        <w:ind w:firstLine="640" w:firstLineChars="200"/>
        <w:textAlignment w:val="auto"/>
        <w:rPr>
          <w:rFonts w:hint="eastAsia"/>
          <w:sz w:val="32"/>
          <w:szCs w:val="32"/>
        </w:rPr>
      </w:pPr>
      <w:r>
        <w:rPr>
          <w:rFonts w:hint="eastAsia" w:ascii="仿宋_GB2312" w:hAnsi="仿宋_GB2312" w:eastAsia="仿宋_GB2312" w:cs="仿宋_GB2312"/>
          <w:bCs/>
          <w:color w:val="000000"/>
          <w:sz w:val="32"/>
          <w:szCs w:val="32"/>
        </w:rPr>
        <w:t>如贵单位确认参与，请在接到本询价函后2026年</w:t>
      </w:r>
      <w:r>
        <w:rPr>
          <w:rFonts w:hint="eastAsia" w:ascii="仿宋_GB2312" w:hAnsi="仿宋_GB2312" w:eastAsia="仿宋_GB2312" w:cs="仿宋_GB2312"/>
          <w:bCs/>
          <w:color w:val="000000"/>
          <w:sz w:val="32"/>
          <w:szCs w:val="32"/>
          <w:lang w:val="en-US" w:eastAsia="zh-CN"/>
        </w:rPr>
        <w:t>8</w:t>
      </w:r>
      <w:r>
        <w:rPr>
          <w:rFonts w:hint="eastAsia" w:ascii="仿宋_GB2312" w:hAnsi="仿宋_GB2312" w:eastAsia="仿宋_GB2312" w:cs="仿宋_GB2312"/>
          <w:bCs/>
          <w:color w:val="000000"/>
          <w:sz w:val="32"/>
          <w:szCs w:val="32"/>
        </w:rPr>
        <w:t>月</w:t>
      </w:r>
      <w:r>
        <w:rPr>
          <w:rFonts w:hint="eastAsia" w:ascii="仿宋_GB2312" w:hAnsi="仿宋_GB2312" w:eastAsia="仿宋_GB2312" w:cs="仿宋_GB2312"/>
          <w:bCs/>
          <w:color w:val="000000"/>
          <w:sz w:val="32"/>
          <w:szCs w:val="32"/>
          <w:lang w:val="en-US" w:eastAsia="zh-CN"/>
        </w:rPr>
        <w:t>6</w:t>
      </w:r>
      <w:r>
        <w:rPr>
          <w:rFonts w:hint="eastAsia" w:ascii="仿宋_GB2312" w:hAnsi="仿宋_GB2312" w:eastAsia="仿宋_GB2312" w:cs="仿宋_GB2312"/>
          <w:bCs/>
          <w:color w:val="000000"/>
          <w:sz w:val="32"/>
          <w:szCs w:val="32"/>
        </w:rPr>
        <w:t>日14时以送达的方式送至昆明城市污水处理运营有限责任公司（地址：云南省昆明市官南大道268号第二水质净化厂内）。</w:t>
      </w:r>
    </w:p>
    <w:p w14:paraId="6FC8DC9A">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left"/>
        <w:textAlignment w:val="auto"/>
        <w:rPr>
          <w:rFonts w:ascii="黑体" w:hAnsi="黑体" w:eastAsia="黑体" w:cs="黑体"/>
          <w:bCs/>
          <w:sz w:val="32"/>
          <w:szCs w:val="32"/>
        </w:rPr>
      </w:pPr>
      <w:r>
        <w:rPr>
          <w:rFonts w:hint="eastAsia" w:ascii="黑体" w:hAnsi="黑体" w:eastAsia="黑体" w:cs="黑体"/>
          <w:bCs/>
          <w:sz w:val="32"/>
          <w:szCs w:val="32"/>
        </w:rPr>
        <w:t>13.联系方式</w:t>
      </w:r>
    </w:p>
    <w:p w14:paraId="53CFBB40">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单位名称：昆明城市污水处理运营有限责任公司</w:t>
      </w:r>
    </w:p>
    <w:p w14:paraId="657A90F0">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地址：昆明市官南大道268号第二水质净化厂内</w:t>
      </w:r>
    </w:p>
    <w:p w14:paraId="686AFD64">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联系人：杨师</w:t>
      </w:r>
    </w:p>
    <w:p w14:paraId="32BBE83C">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rPr>
        <w:t>联系电话：</w:t>
      </w:r>
      <w:r>
        <w:rPr>
          <w:rFonts w:hint="eastAsia" w:ascii="仿宋_GB2312" w:hAnsi="仿宋_GB2312" w:eastAsia="仿宋_GB2312" w:cs="仿宋_GB2312"/>
          <w:bCs/>
          <w:color w:val="000000"/>
          <w:sz w:val="32"/>
          <w:szCs w:val="32"/>
          <w:lang w:val="en-US" w:eastAsia="zh-CN"/>
        </w:rPr>
        <w:t>66206570</w:t>
      </w:r>
    </w:p>
    <w:p w14:paraId="2C09A888">
      <w:pPr>
        <w:rPr>
          <w:rFonts w:ascii="宋体" w:hAnsi="宋体" w:cs="宋体"/>
          <w:szCs w:val="21"/>
        </w:rPr>
      </w:pPr>
    </w:p>
    <w:p w14:paraId="12419084">
      <w:pPr>
        <w:spacing w:line="580" w:lineRule="exact"/>
        <w:rPr>
          <w:rFonts w:hint="eastAsia" w:ascii="仿宋_GB2312" w:hAnsi="仿宋_GB2312" w:eastAsia="仿宋_GB2312" w:cs="仿宋_GB2312"/>
          <w:color w:val="000000"/>
          <w:sz w:val="32"/>
          <w:szCs w:val="32"/>
        </w:rPr>
      </w:pPr>
    </w:p>
    <w:p w14:paraId="5F6403B0">
      <w:pPr>
        <w:spacing w:line="580" w:lineRule="exact"/>
        <w:rPr>
          <w:rFonts w:hint="eastAsia" w:ascii="仿宋_GB2312" w:hAnsi="仿宋_GB2312" w:eastAsia="仿宋_GB2312" w:cs="仿宋_GB2312"/>
          <w:color w:val="000000"/>
          <w:sz w:val="32"/>
          <w:szCs w:val="32"/>
        </w:rPr>
      </w:pPr>
    </w:p>
    <w:p w14:paraId="39D8DD7C">
      <w:pPr>
        <w:spacing w:line="580" w:lineRule="exact"/>
        <w:rPr>
          <w:rFonts w:hint="eastAsia" w:ascii="仿宋_GB2312" w:hAnsi="仿宋_GB2312" w:eastAsia="仿宋_GB2312" w:cs="仿宋_GB2312"/>
          <w:color w:val="000000"/>
          <w:sz w:val="32"/>
          <w:szCs w:val="32"/>
        </w:rPr>
      </w:pPr>
    </w:p>
    <w:p w14:paraId="5E398F83">
      <w:pPr>
        <w:spacing w:line="580" w:lineRule="exact"/>
        <w:rPr>
          <w:rFonts w:hint="eastAsia" w:ascii="仿宋_GB2312" w:hAnsi="仿宋_GB2312" w:eastAsia="仿宋_GB2312" w:cs="仿宋_GB2312"/>
          <w:color w:val="000000"/>
          <w:sz w:val="32"/>
          <w:szCs w:val="32"/>
        </w:rPr>
      </w:pPr>
    </w:p>
    <w:p w14:paraId="45EBD05D">
      <w:pPr>
        <w:spacing w:line="580" w:lineRule="exact"/>
        <w:rPr>
          <w:rFonts w:hint="eastAsia" w:ascii="仿宋_GB2312" w:hAnsi="仿宋_GB2312" w:eastAsia="仿宋_GB2312" w:cs="仿宋_GB2312"/>
          <w:color w:val="000000"/>
          <w:sz w:val="32"/>
          <w:szCs w:val="32"/>
        </w:rPr>
      </w:pPr>
    </w:p>
    <w:p w14:paraId="49D95D38">
      <w:pPr>
        <w:spacing w:line="580" w:lineRule="exact"/>
        <w:rPr>
          <w:rFonts w:hint="eastAsia" w:ascii="仿宋_GB2312" w:hAnsi="仿宋_GB2312" w:eastAsia="仿宋_GB2312" w:cs="仿宋_GB2312"/>
          <w:color w:val="000000"/>
          <w:sz w:val="32"/>
          <w:szCs w:val="32"/>
        </w:rPr>
      </w:pPr>
    </w:p>
    <w:p w14:paraId="01F66163">
      <w:pPr>
        <w:spacing w:line="580" w:lineRule="exact"/>
        <w:rPr>
          <w:rFonts w:hint="eastAsia" w:ascii="仿宋_GB2312" w:hAnsi="仿宋_GB2312" w:eastAsia="仿宋_GB2312" w:cs="仿宋_GB2312"/>
          <w:color w:val="000000"/>
          <w:sz w:val="32"/>
          <w:szCs w:val="32"/>
        </w:rPr>
      </w:pPr>
    </w:p>
    <w:p w14:paraId="70A99A62">
      <w:pPr>
        <w:spacing w:line="580" w:lineRule="exact"/>
        <w:rPr>
          <w:rFonts w:hint="eastAsia" w:ascii="仿宋_GB2312" w:hAnsi="仿宋_GB2312" w:eastAsia="仿宋_GB2312" w:cs="仿宋_GB2312"/>
          <w:color w:val="000000"/>
          <w:sz w:val="32"/>
          <w:szCs w:val="32"/>
        </w:rPr>
      </w:pPr>
    </w:p>
    <w:p w14:paraId="3BD8E571">
      <w:pPr>
        <w:spacing w:line="580" w:lineRule="exact"/>
        <w:rPr>
          <w:rFonts w:hint="eastAsia" w:ascii="仿宋_GB2312" w:hAnsi="仿宋_GB2312" w:eastAsia="仿宋_GB2312" w:cs="仿宋_GB2312"/>
          <w:color w:val="000000"/>
          <w:sz w:val="32"/>
          <w:szCs w:val="32"/>
        </w:rPr>
      </w:pPr>
    </w:p>
    <w:p w14:paraId="484CBABC">
      <w:pPr>
        <w:spacing w:line="580" w:lineRule="exact"/>
        <w:rPr>
          <w:rFonts w:hint="eastAsia" w:ascii="仿宋_GB2312" w:hAnsi="仿宋_GB2312" w:eastAsia="仿宋_GB2312" w:cs="仿宋_GB2312"/>
          <w:color w:val="000000"/>
          <w:sz w:val="32"/>
          <w:szCs w:val="32"/>
        </w:rPr>
      </w:pPr>
    </w:p>
    <w:p w14:paraId="38786A4B">
      <w:pPr>
        <w:spacing w:line="580" w:lineRule="exact"/>
        <w:rPr>
          <w:rFonts w:hint="eastAsia" w:ascii="仿宋_GB2312" w:hAnsi="仿宋_GB2312" w:eastAsia="仿宋_GB2312" w:cs="仿宋_GB2312"/>
          <w:color w:val="000000"/>
          <w:sz w:val="32"/>
          <w:szCs w:val="32"/>
        </w:rPr>
      </w:pPr>
    </w:p>
    <w:p w14:paraId="5CA557AB">
      <w:pPr>
        <w:spacing w:line="580" w:lineRule="exact"/>
        <w:rPr>
          <w:rFonts w:hint="eastAsia" w:ascii="仿宋_GB2312" w:hAnsi="仿宋_GB2312" w:eastAsia="仿宋_GB2312" w:cs="仿宋_GB2312"/>
          <w:color w:val="000000"/>
          <w:sz w:val="32"/>
          <w:szCs w:val="32"/>
        </w:rPr>
      </w:pPr>
    </w:p>
    <w:p w14:paraId="7B2B50DC">
      <w:pPr>
        <w:spacing w:line="580" w:lineRule="exac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附件一：</w:t>
      </w:r>
    </w:p>
    <w:p w14:paraId="6EEA6CEF">
      <w:pPr>
        <w:pStyle w:val="2"/>
        <w:spacing w:after="0" w:line="580" w:lineRule="exact"/>
        <w:jc w:val="center"/>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报价表</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参考格式，可自拟</w:t>
      </w:r>
      <w:r>
        <w:rPr>
          <w:rFonts w:hint="eastAsia" w:ascii="仿宋_GB2312" w:hAnsi="仿宋_GB2312" w:eastAsia="仿宋_GB2312" w:cs="仿宋_GB2312"/>
          <w:b w:val="0"/>
          <w:bCs w:val="0"/>
          <w:sz w:val="32"/>
          <w:szCs w:val="32"/>
          <w:lang w:eastAsia="zh-CN"/>
        </w:rPr>
        <w:t>）</w:t>
      </w:r>
    </w:p>
    <w:p w14:paraId="44F131CA">
      <w:pPr>
        <w:pStyle w:val="2"/>
        <w:keepNext w:val="0"/>
        <w:keepLines w:val="0"/>
        <w:pageBreakBefore w:val="0"/>
        <w:widowControl w:val="0"/>
        <w:kinsoku/>
        <w:wordWrap/>
        <w:overflowPunct/>
        <w:topLinePunct w:val="0"/>
        <w:autoSpaceDE/>
        <w:autoSpaceDN/>
        <w:bidi w:val="0"/>
        <w:adjustRightInd/>
        <w:snapToGrid/>
        <w:spacing w:after="0" w:line="580" w:lineRule="exact"/>
        <w:textAlignment w:val="auto"/>
        <w:rPr>
          <w:rFonts w:hint="eastAsia" w:ascii="仿宋_GB2312" w:hAnsi="仿宋_GB2312" w:eastAsia="仿宋_GB2312" w:cs="仿宋_GB2312"/>
          <w:b w:val="0"/>
          <w:bCs w:val="0"/>
          <w:color w:val="000000"/>
          <w:sz w:val="32"/>
          <w:szCs w:val="32"/>
          <w:u w:val="single"/>
        </w:rPr>
      </w:pPr>
      <w:r>
        <w:rPr>
          <w:rFonts w:hint="eastAsia" w:ascii="仿宋_GB2312" w:hAnsi="仿宋_GB2312" w:eastAsia="仿宋_GB2312" w:cs="仿宋_GB2312"/>
          <w:b w:val="0"/>
          <w:bCs w:val="0"/>
          <w:color w:val="000000"/>
          <w:sz w:val="32"/>
          <w:szCs w:val="32"/>
        </w:rPr>
        <w:t>致：</w:t>
      </w:r>
      <w:r>
        <w:rPr>
          <w:rFonts w:hint="eastAsia" w:ascii="仿宋_GB2312" w:hAnsi="仿宋_GB2312" w:eastAsia="仿宋_GB2312" w:cs="仿宋_GB2312"/>
          <w:b w:val="0"/>
          <w:bCs w:val="0"/>
          <w:color w:val="000000"/>
          <w:sz w:val="32"/>
          <w:szCs w:val="32"/>
          <w:u w:val="single"/>
        </w:rPr>
        <w:t>昆明城市污水处理运营有限责任公司</w:t>
      </w:r>
    </w:p>
    <w:p w14:paraId="6D209D7E">
      <w:pPr>
        <w:pStyle w:val="2"/>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经我单位研究，</w:t>
      </w:r>
      <w:bookmarkStart w:id="3" w:name="_Hlk63755697"/>
      <w:r>
        <w:rPr>
          <w:rFonts w:hint="eastAsia" w:ascii="仿宋_GB2312" w:hAnsi="仿宋_GB2312" w:eastAsia="仿宋_GB2312" w:cs="仿宋_GB2312"/>
          <w:b w:val="0"/>
          <w:bCs w:val="0"/>
          <w:color w:val="000000"/>
          <w:sz w:val="32"/>
          <w:szCs w:val="32"/>
          <w:u w:val="single"/>
        </w:rPr>
        <w:t>昆明城市污水处理运营有限责任公司</w:t>
      </w:r>
      <w:bookmarkEnd w:id="3"/>
      <w:r>
        <w:rPr>
          <w:rFonts w:hint="eastAsia" w:ascii="仿宋_GB2312" w:hAnsi="仿宋_GB2312" w:eastAsia="仿宋_GB2312" w:cs="仿宋_GB2312"/>
          <w:sz w:val="32"/>
          <w:szCs w:val="32"/>
          <w:u w:val="single"/>
        </w:rPr>
        <w:t>第十五水质净化厂垃圾清运服务单位选聘</w:t>
      </w:r>
      <w:r>
        <w:rPr>
          <w:rFonts w:hint="eastAsia" w:ascii="仿宋_GB2312" w:hAnsi="仿宋_GB2312" w:eastAsia="仿宋_GB2312" w:cs="仿宋_GB2312"/>
          <w:bCs/>
          <w:sz w:val="32"/>
          <w:szCs w:val="32"/>
          <w:u w:val="single"/>
        </w:rPr>
        <w:t>项目</w:t>
      </w:r>
      <w:r>
        <w:rPr>
          <w:rFonts w:hint="eastAsia" w:ascii="仿宋_GB2312" w:hAnsi="仿宋_GB2312" w:eastAsia="仿宋_GB2312" w:cs="仿宋_GB2312"/>
          <w:b w:val="0"/>
          <w:bCs w:val="0"/>
          <w:color w:val="000000"/>
          <w:sz w:val="32"/>
          <w:szCs w:val="32"/>
        </w:rPr>
        <w:t>，我公司报价为</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sz w:val="32"/>
          <w:szCs w:val="32"/>
        </w:rPr>
        <w:t>且承诺：</w:t>
      </w:r>
      <w:r>
        <w:rPr>
          <w:rFonts w:hint="eastAsia" w:ascii="仿宋_GB2312" w:hAnsi="仿宋_GB2312" w:eastAsia="仿宋_GB2312" w:cs="仿宋_GB2312"/>
          <w:bCs/>
          <w:sz w:val="32"/>
          <w:szCs w:val="32"/>
        </w:rPr>
        <w:t>包含但不限于政策性文件规定及为完成本招标文件所规定的全部服务内容所需的所有费用</w:t>
      </w:r>
      <w:r>
        <w:rPr>
          <w:rFonts w:hint="eastAsia" w:ascii="仿宋_GB2312" w:hAnsi="仿宋_GB2312" w:eastAsia="仿宋_GB2312" w:cs="仿宋_GB2312"/>
          <w:b w:val="0"/>
          <w:bCs w:val="0"/>
          <w:color w:val="000000"/>
          <w:sz w:val="32"/>
          <w:szCs w:val="32"/>
          <w:lang w:eastAsia="zh-CN"/>
        </w:rPr>
        <w:t>）</w:t>
      </w:r>
    </w:p>
    <w:tbl>
      <w:tblPr>
        <w:tblStyle w:val="13"/>
        <w:tblW w:w="10018" w:type="dxa"/>
        <w:jc w:val="center"/>
        <w:tblBorders>
          <w:top w:val="thinThickSmallGap" w:color="auto" w:sz="18" w:space="0"/>
          <w:left w:val="thinThickSmallGap" w:color="auto" w:sz="18" w:space="0"/>
          <w:bottom w:val="thickThinSmallGap" w:color="auto" w:sz="18" w:space="0"/>
          <w:right w:val="thickThinSmallGap"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948"/>
        <w:gridCol w:w="2433"/>
        <w:gridCol w:w="6637"/>
      </w:tblGrid>
      <w:tr w14:paraId="5298EAEA">
        <w:tblPrEx>
          <w:tblBorders>
            <w:top w:val="thinThickSmallGap" w:color="auto" w:sz="18" w:space="0"/>
            <w:left w:val="thinThickSmallGap" w:color="auto" w:sz="18" w:space="0"/>
            <w:bottom w:val="thickThinSmallGap" w:color="auto" w:sz="18" w:space="0"/>
            <w:right w:val="thickThinSmallGap" w:color="auto" w:sz="18" w:space="0"/>
            <w:insideH w:val="single" w:color="auto" w:sz="6" w:space="0"/>
            <w:insideV w:val="single" w:color="auto" w:sz="6" w:space="0"/>
          </w:tblBorders>
          <w:tblCellMar>
            <w:top w:w="0" w:type="dxa"/>
            <w:left w:w="108" w:type="dxa"/>
            <w:bottom w:w="0" w:type="dxa"/>
            <w:right w:w="108" w:type="dxa"/>
          </w:tblCellMar>
        </w:tblPrEx>
        <w:trPr>
          <w:trHeight w:val="1352" w:hRule="atLeast"/>
          <w:jc w:val="center"/>
        </w:trPr>
        <w:tc>
          <w:tcPr>
            <w:tcW w:w="948" w:type="dxa"/>
            <w:shd w:val="clear" w:color="auto" w:fill="8EAADB"/>
            <w:vAlign w:val="center"/>
          </w:tcPr>
          <w:p w14:paraId="306B2ECD">
            <w:pPr>
              <w:jc w:val="center"/>
              <w:rPr>
                <w:rFonts w:ascii="宋体" w:hAnsi="宋体"/>
                <w:b/>
                <w:color w:val="000000"/>
              </w:rPr>
            </w:pPr>
            <w:r>
              <w:rPr>
                <w:rFonts w:hint="eastAsia" w:ascii="宋体" w:hAnsi="宋体"/>
                <w:b/>
                <w:color w:val="000000"/>
              </w:rPr>
              <w:t>序号</w:t>
            </w:r>
          </w:p>
        </w:tc>
        <w:tc>
          <w:tcPr>
            <w:tcW w:w="2433" w:type="dxa"/>
            <w:shd w:val="clear" w:color="auto" w:fill="8EAADB"/>
            <w:vAlign w:val="center"/>
          </w:tcPr>
          <w:p w14:paraId="5F3BF90E">
            <w:pPr>
              <w:jc w:val="center"/>
              <w:rPr>
                <w:rFonts w:ascii="宋体" w:hAnsi="宋体"/>
                <w:b/>
                <w:color w:val="000000"/>
              </w:rPr>
            </w:pPr>
            <w:r>
              <w:rPr>
                <w:rFonts w:hint="eastAsia" w:ascii="宋体" w:hAnsi="宋体"/>
                <w:b/>
                <w:color w:val="000000"/>
              </w:rPr>
              <w:t>名称</w:t>
            </w:r>
          </w:p>
        </w:tc>
        <w:tc>
          <w:tcPr>
            <w:tcW w:w="6637" w:type="dxa"/>
            <w:shd w:val="clear" w:color="auto" w:fill="8EAADB"/>
            <w:vAlign w:val="center"/>
          </w:tcPr>
          <w:p w14:paraId="2CE5FB4A">
            <w:pPr>
              <w:jc w:val="center"/>
              <w:rPr>
                <w:rFonts w:ascii="宋体" w:hAnsi="宋体"/>
                <w:b/>
                <w:color w:val="000000"/>
              </w:rPr>
            </w:pPr>
            <w:r>
              <w:rPr>
                <w:rFonts w:hint="eastAsia" w:ascii="宋体" w:hAnsi="宋体"/>
                <w:b/>
                <w:color w:val="000000"/>
              </w:rPr>
              <w:t>投标人承诺</w:t>
            </w:r>
          </w:p>
        </w:tc>
      </w:tr>
      <w:tr w14:paraId="4C4B4DCF">
        <w:tblPrEx>
          <w:tblBorders>
            <w:top w:val="thinThickSmallGap" w:color="auto" w:sz="18" w:space="0"/>
            <w:left w:val="thinThickSmallGap" w:color="auto" w:sz="18" w:space="0"/>
            <w:bottom w:val="thickThinSmallGap" w:color="auto" w:sz="18" w:space="0"/>
            <w:right w:val="thickThinSmallGap" w:color="auto" w:sz="18"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948" w:type="dxa"/>
            <w:vAlign w:val="center"/>
          </w:tcPr>
          <w:p w14:paraId="150F87C9">
            <w:pPr>
              <w:jc w:val="center"/>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w:t>
            </w:r>
          </w:p>
        </w:tc>
        <w:tc>
          <w:tcPr>
            <w:tcW w:w="2433" w:type="dxa"/>
            <w:vAlign w:val="center"/>
          </w:tcPr>
          <w:p w14:paraId="41735681">
            <w:pPr>
              <w:jc w:val="center"/>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单价</w:t>
            </w:r>
          </w:p>
        </w:tc>
        <w:tc>
          <w:tcPr>
            <w:tcW w:w="6637" w:type="dxa"/>
            <w:vAlign w:val="center"/>
          </w:tcPr>
          <w:p w14:paraId="35A97C61">
            <w:pPr>
              <w:rPr>
                <w:rFonts w:hint="eastAsia" w:ascii="仿宋_GB2312" w:hAnsi="仿宋_GB2312" w:eastAsia="仿宋_GB2312" w:cs="仿宋_GB2312"/>
                <w:color w:val="000000"/>
                <w:sz w:val="32"/>
                <w:szCs w:val="32"/>
              </w:rPr>
            </w:pPr>
          </w:p>
        </w:tc>
      </w:tr>
      <w:tr w14:paraId="265E2C7B">
        <w:tblPrEx>
          <w:tblBorders>
            <w:top w:val="thinThickSmallGap" w:color="auto" w:sz="18" w:space="0"/>
            <w:left w:val="thinThickSmallGap" w:color="auto" w:sz="18" w:space="0"/>
            <w:bottom w:val="thickThinSmallGap" w:color="auto" w:sz="18" w:space="0"/>
            <w:right w:val="thickThinSmallGap" w:color="auto" w:sz="18"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948" w:type="dxa"/>
            <w:vAlign w:val="center"/>
          </w:tcPr>
          <w:p w14:paraId="4CFC1341">
            <w:pPr>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p>
        </w:tc>
        <w:tc>
          <w:tcPr>
            <w:tcW w:w="2433" w:type="dxa"/>
            <w:vAlign w:val="center"/>
          </w:tcPr>
          <w:p w14:paraId="60EE68C0">
            <w:pPr>
              <w:jc w:val="center"/>
              <w:rPr>
                <w:rFonts w:hint="eastAsia" w:ascii="仿宋_GB2312" w:hAnsi="仿宋_GB2312" w:eastAsia="仿宋_GB2312" w:cs="仿宋_GB2312"/>
                <w:color w:val="000000"/>
                <w:sz w:val="32"/>
                <w:szCs w:val="32"/>
              </w:rPr>
            </w:pPr>
            <w:r>
              <w:rPr>
                <w:rFonts w:hint="eastAsia" w:ascii="宋体" w:hAnsi="宋体" w:cs="宋体"/>
                <w:sz w:val="28"/>
                <w:szCs w:val="28"/>
              </w:rPr>
              <w:t>服务期限</w:t>
            </w:r>
          </w:p>
        </w:tc>
        <w:tc>
          <w:tcPr>
            <w:tcW w:w="6637" w:type="dxa"/>
            <w:vAlign w:val="center"/>
          </w:tcPr>
          <w:p w14:paraId="740019B9">
            <w:pPr>
              <w:rPr>
                <w:rFonts w:hint="eastAsia" w:ascii="仿宋_GB2312" w:hAnsi="仿宋_GB2312" w:eastAsia="仿宋_GB2312" w:cs="仿宋_GB2312"/>
                <w:color w:val="000000"/>
                <w:sz w:val="32"/>
                <w:szCs w:val="32"/>
              </w:rPr>
            </w:pPr>
          </w:p>
        </w:tc>
      </w:tr>
      <w:tr w14:paraId="528F54A6">
        <w:tblPrEx>
          <w:tblBorders>
            <w:top w:val="thinThickSmallGap" w:color="auto" w:sz="18" w:space="0"/>
            <w:left w:val="thinThickSmallGap" w:color="auto" w:sz="18" w:space="0"/>
            <w:bottom w:val="thickThinSmallGap" w:color="auto" w:sz="18" w:space="0"/>
            <w:right w:val="thickThinSmallGap" w:color="auto" w:sz="18"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948" w:type="dxa"/>
            <w:tcBorders>
              <w:bottom w:val="single" w:color="auto" w:sz="4" w:space="0"/>
            </w:tcBorders>
            <w:vAlign w:val="center"/>
          </w:tcPr>
          <w:p w14:paraId="6D3CC04C">
            <w:pPr>
              <w:jc w:val="center"/>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3</w:t>
            </w:r>
          </w:p>
        </w:tc>
        <w:tc>
          <w:tcPr>
            <w:tcW w:w="2433" w:type="dxa"/>
            <w:tcBorders>
              <w:bottom w:val="single" w:color="auto" w:sz="4" w:space="0"/>
            </w:tcBorders>
            <w:vAlign w:val="center"/>
          </w:tcPr>
          <w:p w14:paraId="0CB80084">
            <w:pPr>
              <w:jc w:val="center"/>
              <w:rPr>
                <w:rFonts w:hint="eastAsia" w:ascii="仿宋_GB2312" w:hAnsi="仿宋_GB2312" w:eastAsia="仿宋_GB2312" w:cs="仿宋_GB2312"/>
                <w:color w:val="000000"/>
                <w:sz w:val="32"/>
                <w:szCs w:val="32"/>
              </w:rPr>
            </w:pPr>
            <w:r>
              <w:rPr>
                <w:rFonts w:hint="eastAsia" w:ascii="宋体" w:hAnsi="宋体" w:cs="宋体"/>
                <w:sz w:val="28"/>
                <w:szCs w:val="28"/>
              </w:rPr>
              <w:t>服务质量</w:t>
            </w:r>
          </w:p>
        </w:tc>
        <w:tc>
          <w:tcPr>
            <w:tcW w:w="6637" w:type="dxa"/>
            <w:tcBorders>
              <w:bottom w:val="single" w:color="auto" w:sz="4" w:space="0"/>
            </w:tcBorders>
            <w:vAlign w:val="center"/>
          </w:tcPr>
          <w:p w14:paraId="35C7D86B">
            <w:pPr>
              <w:rPr>
                <w:rFonts w:hint="eastAsia" w:ascii="仿宋_GB2312" w:hAnsi="仿宋_GB2312" w:eastAsia="仿宋_GB2312" w:cs="仿宋_GB2312"/>
                <w:color w:val="000000"/>
                <w:sz w:val="32"/>
                <w:szCs w:val="32"/>
              </w:rPr>
            </w:pPr>
          </w:p>
        </w:tc>
      </w:tr>
      <w:tr w14:paraId="3EDBF2A3">
        <w:tblPrEx>
          <w:tblBorders>
            <w:top w:val="thinThickSmallGap" w:color="auto" w:sz="18" w:space="0"/>
            <w:left w:val="thinThickSmallGap" w:color="auto" w:sz="18" w:space="0"/>
            <w:bottom w:val="thickThinSmallGap" w:color="auto" w:sz="18" w:space="0"/>
            <w:right w:val="thickThinSmallGap" w:color="auto" w:sz="18"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948" w:type="dxa"/>
            <w:tcBorders>
              <w:top w:val="single" w:color="auto" w:sz="4" w:space="0"/>
            </w:tcBorders>
            <w:vAlign w:val="center"/>
          </w:tcPr>
          <w:p w14:paraId="74C22924">
            <w:pPr>
              <w:jc w:val="center"/>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4</w:t>
            </w:r>
          </w:p>
        </w:tc>
        <w:tc>
          <w:tcPr>
            <w:tcW w:w="2433" w:type="dxa"/>
            <w:tcBorders>
              <w:top w:val="single" w:color="auto" w:sz="4" w:space="0"/>
            </w:tcBorders>
            <w:vAlign w:val="center"/>
          </w:tcPr>
          <w:p w14:paraId="4303ADE0">
            <w:pPr>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项目负责人</w:t>
            </w:r>
          </w:p>
        </w:tc>
        <w:tc>
          <w:tcPr>
            <w:tcW w:w="6637" w:type="dxa"/>
            <w:tcBorders>
              <w:top w:val="single" w:color="auto" w:sz="4" w:space="0"/>
            </w:tcBorders>
            <w:vAlign w:val="center"/>
          </w:tcPr>
          <w:p w14:paraId="574CAA76">
            <w:pPr>
              <w:rPr>
                <w:rFonts w:hint="eastAsia" w:ascii="仿宋_GB2312" w:hAnsi="仿宋_GB2312" w:eastAsia="仿宋_GB2312" w:cs="仿宋_GB2312"/>
                <w:color w:val="000000"/>
                <w:sz w:val="32"/>
                <w:szCs w:val="32"/>
              </w:rPr>
            </w:pPr>
          </w:p>
        </w:tc>
      </w:tr>
    </w:tbl>
    <w:p w14:paraId="07FF547C">
      <w:pPr>
        <w:spacing w:line="580" w:lineRule="exact"/>
        <w:rPr>
          <w:rFonts w:hint="eastAsia" w:ascii="仿宋_GB2312" w:hAnsi="仿宋_GB2312" w:eastAsia="仿宋_GB2312" w:cs="仿宋_GB2312"/>
          <w:color w:val="000000"/>
          <w:sz w:val="32"/>
          <w:szCs w:val="32"/>
        </w:rPr>
      </w:pPr>
    </w:p>
    <w:p w14:paraId="3389BF22">
      <w:pPr>
        <w:spacing w:line="580" w:lineRule="exact"/>
        <w:ind w:firstLine="4160" w:firstLineChars="13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单位名称：（盖章）</w:t>
      </w:r>
    </w:p>
    <w:p w14:paraId="58D19A47">
      <w:pPr>
        <w:spacing w:line="580" w:lineRule="exac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法定代表人：（签字或盖章）</w:t>
      </w:r>
    </w:p>
    <w:p w14:paraId="130942D1">
      <w:pPr>
        <w:pStyle w:val="2"/>
        <w:spacing w:after="0" w:line="580" w:lineRule="exac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 xml:space="preserve">                          时间： 年 月 日</w:t>
      </w:r>
    </w:p>
    <w:p w14:paraId="4E9D9D40">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color w:val="000000"/>
          <w:sz w:val="32"/>
          <w:szCs w:val="32"/>
          <w:lang w:eastAsia="zh-CN"/>
        </w:rPr>
      </w:pPr>
      <w:r>
        <w:rPr>
          <w:rFonts w:hint="eastAsia" w:cs="宋体"/>
          <w:color w:val="000000"/>
          <w:sz w:val="24"/>
        </w:rPr>
        <w:br w:type="page"/>
      </w:r>
      <w:r>
        <w:rPr>
          <w:rFonts w:hint="eastAsia" w:ascii="仿宋_GB2312" w:hAnsi="仿宋_GB2312" w:eastAsia="仿宋_GB2312" w:cs="仿宋_GB2312"/>
          <w:color w:val="000000"/>
          <w:sz w:val="32"/>
          <w:szCs w:val="32"/>
        </w:rPr>
        <w:t>附件二</w:t>
      </w:r>
      <w:r>
        <w:rPr>
          <w:rFonts w:hint="eastAsia" w:ascii="仿宋_GB2312" w:hAnsi="仿宋_GB2312" w:eastAsia="仿宋_GB2312" w:cs="仿宋_GB2312"/>
          <w:color w:val="000000"/>
          <w:sz w:val="32"/>
          <w:szCs w:val="32"/>
          <w:lang w:eastAsia="zh-CN"/>
        </w:rPr>
        <w:t>：</w:t>
      </w:r>
    </w:p>
    <w:p w14:paraId="5D176587">
      <w:pPr>
        <w:pStyle w:val="28"/>
        <w:spacing w:line="580" w:lineRule="exact"/>
        <w:jc w:val="both"/>
        <w:rPr>
          <w:rFonts w:hint="eastAsia" w:ascii="仿宋_GB2312" w:hAnsi="仿宋_GB2312" w:eastAsia="仿宋_GB2312" w:cs="仿宋_GB2312"/>
          <w:color w:val="000000"/>
          <w:sz w:val="32"/>
          <w:szCs w:val="32"/>
          <w:lang w:val="en-US" w:eastAsia="zh-CN"/>
        </w:rPr>
      </w:pPr>
    </w:p>
    <w:p w14:paraId="05553EBC">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分项报价明细表</w:t>
      </w:r>
    </w:p>
    <w:p w14:paraId="3A898D12">
      <w:pPr>
        <w:pStyle w:val="2"/>
        <w:rPr>
          <w:rFonts w:hint="eastAsia"/>
        </w:rPr>
      </w:pPr>
    </w:p>
    <w:tbl>
      <w:tblPr>
        <w:tblStyle w:val="13"/>
        <w:tblW w:w="5036" w:type="pct"/>
        <w:tblInd w:w="0" w:type="dxa"/>
        <w:tblLayout w:type="autofit"/>
        <w:tblCellMar>
          <w:top w:w="0" w:type="dxa"/>
          <w:left w:w="108" w:type="dxa"/>
          <w:bottom w:w="0" w:type="dxa"/>
          <w:right w:w="108" w:type="dxa"/>
        </w:tblCellMar>
      </w:tblPr>
      <w:tblGrid>
        <w:gridCol w:w="1020"/>
        <w:gridCol w:w="2591"/>
        <w:gridCol w:w="1426"/>
        <w:gridCol w:w="1999"/>
        <w:gridCol w:w="2319"/>
      </w:tblGrid>
      <w:tr w14:paraId="3692F59E">
        <w:tblPrEx>
          <w:tblCellMar>
            <w:top w:w="0" w:type="dxa"/>
            <w:left w:w="108" w:type="dxa"/>
            <w:bottom w:w="0" w:type="dxa"/>
            <w:right w:w="108" w:type="dxa"/>
          </w:tblCellMar>
        </w:tblPrEx>
        <w:trPr>
          <w:trHeight w:val="1101" w:hRule="atLeast"/>
        </w:trPr>
        <w:tc>
          <w:tcPr>
            <w:tcW w:w="545" w:type="pct"/>
            <w:tcBorders>
              <w:top w:val="single" w:color="auto" w:sz="6" w:space="0"/>
              <w:left w:val="single" w:color="auto" w:sz="6" w:space="0"/>
              <w:bottom w:val="single" w:color="auto" w:sz="6" w:space="0"/>
              <w:right w:val="single" w:color="auto" w:sz="6" w:space="0"/>
            </w:tcBorders>
            <w:noWrap w:val="0"/>
            <w:vAlign w:val="center"/>
          </w:tcPr>
          <w:p w14:paraId="515BAE27">
            <w:pPr>
              <w:jc w:val="center"/>
              <w:rPr>
                <w:rFonts w:hint="eastAsia" w:ascii="黑体" w:hAnsi="黑体" w:eastAsia="黑体" w:cs="黑体"/>
                <w:b w:val="0"/>
                <w:bCs/>
                <w:color w:val="000000"/>
                <w:sz w:val="28"/>
                <w:szCs w:val="28"/>
              </w:rPr>
            </w:pPr>
            <w:r>
              <w:rPr>
                <w:rFonts w:hint="eastAsia" w:ascii="黑体" w:hAnsi="黑体" w:eastAsia="黑体" w:cs="黑体"/>
                <w:b w:val="0"/>
                <w:bCs/>
                <w:color w:val="000000"/>
                <w:sz w:val="28"/>
                <w:szCs w:val="28"/>
              </w:rPr>
              <w:t>序号</w:t>
            </w:r>
          </w:p>
        </w:tc>
        <w:tc>
          <w:tcPr>
            <w:tcW w:w="1384" w:type="pct"/>
            <w:tcBorders>
              <w:top w:val="single" w:color="auto" w:sz="6" w:space="0"/>
              <w:left w:val="single" w:color="auto" w:sz="6" w:space="0"/>
              <w:bottom w:val="single" w:color="auto" w:sz="6" w:space="0"/>
              <w:right w:val="single" w:color="auto" w:sz="6" w:space="0"/>
            </w:tcBorders>
            <w:noWrap w:val="0"/>
            <w:vAlign w:val="center"/>
          </w:tcPr>
          <w:p w14:paraId="3C1817A0">
            <w:pPr>
              <w:jc w:val="center"/>
              <w:rPr>
                <w:rFonts w:hint="eastAsia" w:ascii="黑体" w:hAnsi="黑体" w:eastAsia="黑体" w:cs="黑体"/>
                <w:b w:val="0"/>
                <w:bCs/>
                <w:color w:val="000000"/>
                <w:sz w:val="28"/>
                <w:szCs w:val="28"/>
              </w:rPr>
            </w:pPr>
            <w:r>
              <w:rPr>
                <w:rFonts w:hint="eastAsia" w:ascii="黑体" w:hAnsi="黑体" w:eastAsia="黑体" w:cs="黑体"/>
                <w:b w:val="0"/>
                <w:bCs/>
                <w:color w:val="000000"/>
                <w:sz w:val="28"/>
                <w:szCs w:val="28"/>
              </w:rPr>
              <w:t>名称</w:t>
            </w:r>
          </w:p>
        </w:tc>
        <w:tc>
          <w:tcPr>
            <w:tcW w:w="762" w:type="pct"/>
            <w:tcBorders>
              <w:top w:val="single" w:color="auto" w:sz="6" w:space="0"/>
              <w:left w:val="single" w:color="auto" w:sz="6" w:space="0"/>
              <w:bottom w:val="single" w:color="auto" w:sz="6" w:space="0"/>
              <w:right w:val="single" w:color="auto" w:sz="6" w:space="0"/>
            </w:tcBorders>
            <w:noWrap w:val="0"/>
            <w:vAlign w:val="center"/>
          </w:tcPr>
          <w:p w14:paraId="3F87F754">
            <w:pPr>
              <w:jc w:val="center"/>
              <w:rPr>
                <w:rFonts w:hint="eastAsia" w:ascii="黑体" w:hAnsi="黑体" w:eastAsia="黑体" w:cs="黑体"/>
                <w:b w:val="0"/>
                <w:bCs/>
                <w:color w:val="000000"/>
                <w:sz w:val="28"/>
                <w:szCs w:val="28"/>
              </w:rPr>
            </w:pPr>
            <w:r>
              <w:rPr>
                <w:rFonts w:hint="eastAsia" w:ascii="黑体" w:hAnsi="黑体" w:eastAsia="黑体" w:cs="黑体"/>
                <w:b w:val="0"/>
                <w:bCs/>
                <w:color w:val="000000"/>
                <w:sz w:val="28"/>
                <w:szCs w:val="28"/>
              </w:rPr>
              <w:t>单位</w:t>
            </w:r>
          </w:p>
        </w:tc>
        <w:tc>
          <w:tcPr>
            <w:tcW w:w="1068" w:type="pct"/>
            <w:tcBorders>
              <w:top w:val="single" w:color="auto" w:sz="6" w:space="0"/>
              <w:left w:val="single" w:color="auto" w:sz="6" w:space="0"/>
              <w:bottom w:val="single" w:color="auto" w:sz="6" w:space="0"/>
              <w:right w:val="single" w:color="auto" w:sz="6" w:space="0"/>
            </w:tcBorders>
            <w:noWrap w:val="0"/>
            <w:vAlign w:val="center"/>
          </w:tcPr>
          <w:p w14:paraId="37637B5E">
            <w:pPr>
              <w:jc w:val="center"/>
              <w:rPr>
                <w:rFonts w:hint="eastAsia" w:ascii="黑体" w:hAnsi="黑体" w:eastAsia="黑体" w:cs="黑体"/>
                <w:b w:val="0"/>
                <w:bCs/>
                <w:color w:val="000000"/>
                <w:sz w:val="28"/>
                <w:szCs w:val="28"/>
              </w:rPr>
            </w:pPr>
            <w:r>
              <w:rPr>
                <w:rFonts w:hint="eastAsia" w:ascii="黑体" w:hAnsi="黑体" w:eastAsia="黑体" w:cs="黑体"/>
                <w:b w:val="0"/>
                <w:bCs/>
                <w:color w:val="000000"/>
                <w:sz w:val="28"/>
                <w:szCs w:val="28"/>
              </w:rPr>
              <w:t>单价(</w:t>
            </w:r>
            <w:r>
              <w:rPr>
                <w:rFonts w:hint="eastAsia" w:ascii="黑体" w:hAnsi="黑体" w:eastAsia="黑体" w:cs="黑体"/>
                <w:b w:val="0"/>
                <w:bCs/>
                <w:sz w:val="28"/>
                <w:szCs w:val="28"/>
              </w:rPr>
              <w:t>元/</w:t>
            </w:r>
            <w:r>
              <w:rPr>
                <w:rFonts w:hint="eastAsia" w:ascii="黑体" w:hAnsi="黑体" w:eastAsia="黑体" w:cs="黑体"/>
                <w:b w:val="0"/>
                <w:bCs/>
                <w:sz w:val="28"/>
                <w:szCs w:val="28"/>
                <w:lang w:val="en-US" w:eastAsia="zh-CN"/>
              </w:rPr>
              <w:t>吨</w:t>
            </w:r>
            <w:r>
              <w:rPr>
                <w:rFonts w:hint="eastAsia" w:ascii="黑体" w:hAnsi="黑体" w:eastAsia="黑体" w:cs="黑体"/>
                <w:b w:val="0"/>
                <w:bCs/>
                <w:color w:val="000000"/>
                <w:sz w:val="28"/>
                <w:szCs w:val="28"/>
              </w:rPr>
              <w:t>）</w:t>
            </w:r>
          </w:p>
        </w:tc>
        <w:tc>
          <w:tcPr>
            <w:tcW w:w="1239" w:type="pct"/>
            <w:tcBorders>
              <w:top w:val="single" w:color="auto" w:sz="6" w:space="0"/>
              <w:left w:val="single" w:color="auto" w:sz="6" w:space="0"/>
              <w:bottom w:val="single" w:color="auto" w:sz="6" w:space="0"/>
              <w:right w:val="single" w:color="auto" w:sz="6" w:space="0"/>
            </w:tcBorders>
            <w:noWrap w:val="0"/>
            <w:vAlign w:val="center"/>
          </w:tcPr>
          <w:p w14:paraId="0C8E6BE1">
            <w:pPr>
              <w:jc w:val="center"/>
              <w:rPr>
                <w:rFonts w:hint="eastAsia" w:ascii="黑体" w:hAnsi="黑体" w:eastAsia="黑体" w:cs="黑体"/>
                <w:b w:val="0"/>
                <w:bCs/>
                <w:color w:val="000000"/>
                <w:sz w:val="28"/>
                <w:szCs w:val="28"/>
              </w:rPr>
            </w:pPr>
            <w:r>
              <w:rPr>
                <w:rFonts w:hint="eastAsia" w:ascii="黑体" w:hAnsi="黑体" w:eastAsia="黑体" w:cs="黑体"/>
                <w:b w:val="0"/>
                <w:bCs/>
                <w:color w:val="000000"/>
                <w:sz w:val="28"/>
                <w:szCs w:val="28"/>
              </w:rPr>
              <w:t>备注</w:t>
            </w:r>
          </w:p>
        </w:tc>
      </w:tr>
      <w:tr w14:paraId="765F10C9">
        <w:tblPrEx>
          <w:tblCellMar>
            <w:top w:w="0" w:type="dxa"/>
            <w:left w:w="108" w:type="dxa"/>
            <w:bottom w:w="0" w:type="dxa"/>
            <w:right w:w="108" w:type="dxa"/>
          </w:tblCellMar>
        </w:tblPrEx>
        <w:trPr>
          <w:trHeight w:val="1714" w:hRule="exact"/>
        </w:trPr>
        <w:tc>
          <w:tcPr>
            <w:tcW w:w="545" w:type="pct"/>
            <w:tcBorders>
              <w:top w:val="single" w:color="auto" w:sz="6" w:space="0"/>
              <w:left w:val="single" w:color="auto" w:sz="6" w:space="0"/>
              <w:bottom w:val="single" w:color="auto" w:sz="6" w:space="0"/>
              <w:right w:val="single" w:color="auto" w:sz="6" w:space="0"/>
            </w:tcBorders>
            <w:noWrap w:val="0"/>
            <w:vAlign w:val="center"/>
          </w:tcPr>
          <w:p w14:paraId="05907D80">
            <w:pPr>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p>
        </w:tc>
        <w:tc>
          <w:tcPr>
            <w:tcW w:w="1384" w:type="pct"/>
            <w:tcBorders>
              <w:top w:val="single" w:color="auto" w:sz="6" w:space="0"/>
              <w:left w:val="single" w:color="auto" w:sz="6" w:space="0"/>
              <w:bottom w:val="single" w:color="auto" w:sz="6" w:space="0"/>
              <w:right w:val="single" w:color="auto" w:sz="6" w:space="0"/>
            </w:tcBorders>
            <w:noWrap w:val="0"/>
            <w:vAlign w:val="center"/>
          </w:tcPr>
          <w:p w14:paraId="40ECDE94">
            <w:pPr>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垃圾清运</w:t>
            </w:r>
            <w:r>
              <w:rPr>
                <w:rFonts w:hint="eastAsia" w:ascii="仿宋_GB2312" w:hAnsi="仿宋_GB2312" w:eastAsia="仿宋_GB2312" w:cs="仿宋_GB2312"/>
                <w:color w:val="000000"/>
                <w:sz w:val="32"/>
                <w:szCs w:val="32"/>
              </w:rPr>
              <w:t>费</w:t>
            </w:r>
          </w:p>
        </w:tc>
        <w:tc>
          <w:tcPr>
            <w:tcW w:w="762" w:type="pct"/>
            <w:tcBorders>
              <w:top w:val="single" w:color="auto" w:sz="6" w:space="0"/>
              <w:left w:val="single" w:color="auto" w:sz="6" w:space="0"/>
              <w:bottom w:val="single" w:color="auto" w:sz="6" w:space="0"/>
              <w:right w:val="nil"/>
            </w:tcBorders>
            <w:noWrap w:val="0"/>
            <w:vAlign w:val="center"/>
          </w:tcPr>
          <w:p w14:paraId="520037D8">
            <w:pPr>
              <w:jc w:val="center"/>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sz w:val="32"/>
                <w:szCs w:val="32"/>
                <w:lang w:val="en-US" w:eastAsia="zh-CN"/>
              </w:rPr>
              <w:t>吨</w:t>
            </w:r>
          </w:p>
        </w:tc>
        <w:tc>
          <w:tcPr>
            <w:tcW w:w="1068" w:type="pct"/>
            <w:tcBorders>
              <w:top w:val="single" w:color="auto" w:sz="6" w:space="0"/>
              <w:left w:val="single" w:color="auto" w:sz="6" w:space="0"/>
              <w:bottom w:val="single" w:color="auto" w:sz="6" w:space="0"/>
              <w:right w:val="single" w:color="auto" w:sz="6" w:space="0"/>
            </w:tcBorders>
            <w:noWrap w:val="0"/>
            <w:vAlign w:val="center"/>
          </w:tcPr>
          <w:p w14:paraId="64B3083B">
            <w:pPr>
              <w:jc w:val="center"/>
              <w:rPr>
                <w:rFonts w:hint="eastAsia" w:ascii="仿宋_GB2312" w:hAnsi="仿宋_GB2312" w:eastAsia="仿宋_GB2312" w:cs="仿宋_GB2312"/>
                <w:color w:val="000000"/>
                <w:sz w:val="32"/>
                <w:szCs w:val="32"/>
              </w:rPr>
            </w:pPr>
          </w:p>
        </w:tc>
        <w:tc>
          <w:tcPr>
            <w:tcW w:w="1239" w:type="pct"/>
            <w:tcBorders>
              <w:top w:val="single" w:color="auto" w:sz="6" w:space="0"/>
              <w:left w:val="single" w:color="auto" w:sz="6" w:space="0"/>
              <w:bottom w:val="single" w:color="auto" w:sz="6" w:space="0"/>
              <w:right w:val="single" w:color="auto" w:sz="6" w:space="0"/>
            </w:tcBorders>
            <w:noWrap w:val="0"/>
            <w:vAlign w:val="center"/>
          </w:tcPr>
          <w:p w14:paraId="0289F53F">
            <w:pPr>
              <w:jc w:val="center"/>
              <w:rPr>
                <w:rFonts w:hint="eastAsia" w:ascii="仿宋_GB2312" w:hAnsi="仿宋_GB2312" w:eastAsia="仿宋_GB2312" w:cs="仿宋_GB2312"/>
                <w:color w:val="000000"/>
                <w:sz w:val="32"/>
                <w:szCs w:val="32"/>
              </w:rPr>
            </w:pPr>
            <w:bookmarkStart w:id="4" w:name="_GoBack"/>
            <w:bookmarkEnd w:id="4"/>
          </w:p>
        </w:tc>
      </w:tr>
    </w:tbl>
    <w:p w14:paraId="0C6E6144">
      <w:pPr>
        <w:spacing w:line="480" w:lineRule="auto"/>
        <w:jc w:val="left"/>
        <w:rPr>
          <w:rFonts w:hint="eastAsia" w:ascii="宋体" w:hAnsi="宋体" w:cs="宋体"/>
          <w:szCs w:val="21"/>
        </w:rPr>
      </w:pPr>
      <w:r>
        <w:rPr>
          <w:rFonts w:hint="eastAsia" w:ascii="宋体" w:hAnsi="宋体" w:cs="宋体"/>
          <w:szCs w:val="21"/>
        </w:rPr>
        <w:t xml:space="preserve"> </w:t>
      </w:r>
    </w:p>
    <w:p w14:paraId="645B9215">
      <w:pPr>
        <w:pStyle w:val="2"/>
        <w:rPr>
          <w:rFonts w:hint="eastAsia"/>
        </w:rPr>
      </w:pPr>
    </w:p>
    <w:p w14:paraId="123C4D79">
      <w:pPr>
        <w:spacing w:line="480" w:lineRule="auto"/>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单位名称（盖章）：          法定代表人（签字或盖章）：</w:t>
      </w:r>
    </w:p>
    <w:p w14:paraId="6B06F70B">
      <w:pPr>
        <w:pStyle w:val="2"/>
        <w:rPr>
          <w:rFonts w:hint="eastAsia"/>
        </w:rPr>
      </w:pPr>
    </w:p>
    <w:p w14:paraId="57B5DCB6">
      <w:pPr>
        <w:widowControl/>
        <w:ind w:firstLine="320" w:firstLineChars="100"/>
        <w:jc w:val="left"/>
        <w:rPr>
          <w:rFonts w:hint="eastAsia" w:ascii="仿宋_GB2312" w:hAnsi="仿宋_GB2312" w:eastAsia="仿宋_GB2312" w:cs="仿宋_GB2312"/>
          <w:bCs/>
          <w:kern w:val="0"/>
          <w:sz w:val="32"/>
          <w:szCs w:val="32"/>
        </w:rPr>
        <w:sectPr>
          <w:footerReference r:id="rId3" w:type="default"/>
          <w:pgSz w:w="11907" w:h="16840"/>
          <w:pgMar w:top="1418" w:right="1134" w:bottom="1134" w:left="1701" w:header="851" w:footer="851" w:gutter="0"/>
          <w:pgNumType w:fmt="decimal" w:start="1"/>
          <w:cols w:space="720" w:num="1"/>
        </w:sectPr>
      </w:pPr>
      <w:r>
        <w:rPr>
          <w:rFonts w:hint="eastAsia" w:ascii="仿宋_GB2312" w:hAnsi="仿宋_GB2312" w:eastAsia="仿宋_GB2312" w:cs="仿宋_GB2312"/>
          <w:sz w:val="32"/>
          <w:szCs w:val="32"/>
        </w:rPr>
        <w:t xml:space="preserve">                               时间：    年   月   日</w:t>
      </w:r>
    </w:p>
    <w:p w14:paraId="4008E8B8">
      <w:pPr>
        <w:pStyle w:val="28"/>
        <w:spacing w:line="580" w:lineRule="exact"/>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附件三：</w:t>
      </w:r>
    </w:p>
    <w:p w14:paraId="0A0D5F51">
      <w:pPr>
        <w:pStyle w:val="28"/>
        <w:keepNext w:val="0"/>
        <w:keepLines w:val="0"/>
        <w:pageBreakBefore w:val="0"/>
        <w:widowControl w:val="0"/>
        <w:kinsoku/>
        <w:wordWrap/>
        <w:overflowPunct/>
        <w:topLinePunct w:val="0"/>
        <w:autoSpaceDE/>
        <w:autoSpaceDN/>
        <w:bidi w:val="0"/>
        <w:adjustRightInd/>
        <w:snapToGrid/>
        <w:spacing w:line="540" w:lineRule="exact"/>
        <w:ind w:firstLine="64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廉政承诺书</w:t>
      </w:r>
    </w:p>
    <w:p w14:paraId="719E4C11">
      <w:pPr>
        <w:pStyle w:val="28"/>
        <w:keepNext w:val="0"/>
        <w:keepLines w:val="0"/>
        <w:pageBreakBefore w:val="0"/>
        <w:widowControl w:val="0"/>
        <w:kinsoku/>
        <w:wordWrap/>
        <w:overflowPunct/>
        <w:topLinePunct w:val="0"/>
        <w:autoSpaceDE/>
        <w:autoSpaceDN/>
        <w:bidi w:val="0"/>
        <w:adjustRightInd/>
        <w:snapToGrid/>
        <w:spacing w:line="540" w:lineRule="exact"/>
        <w:ind w:firstLine="640" w:firstLineChars="200"/>
        <w:jc w:val="center"/>
        <w:textAlignment w:val="auto"/>
        <w:rPr>
          <w:rFonts w:hint="eastAsia" w:ascii="仿宋_GB2312" w:hAnsi="仿宋_GB2312" w:eastAsia="仿宋_GB2312" w:cs="仿宋_GB2312"/>
          <w:sz w:val="32"/>
          <w:szCs w:val="32"/>
          <w:u w:val="single"/>
          <w:lang w:val="zh-CN"/>
        </w:rPr>
      </w:pPr>
    </w:p>
    <w:p w14:paraId="049AACDA">
      <w:pPr>
        <w:pStyle w:val="28"/>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本企业参与</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lang w:val="zh-CN"/>
        </w:rPr>
        <w:t>项目的</w:t>
      </w:r>
      <w:r>
        <w:rPr>
          <w:rFonts w:hint="eastAsia" w:ascii="仿宋_GB2312" w:hAnsi="仿宋_GB2312" w:eastAsia="仿宋_GB2312" w:cs="仿宋_GB2312"/>
          <w:sz w:val="32"/>
          <w:szCs w:val="32"/>
        </w:rPr>
        <w:t>询价</w:t>
      </w:r>
      <w:r>
        <w:rPr>
          <w:rFonts w:hint="eastAsia" w:ascii="仿宋_GB2312" w:hAnsi="仿宋_GB2312" w:eastAsia="仿宋_GB2312" w:cs="仿宋_GB2312"/>
          <w:sz w:val="32"/>
          <w:szCs w:val="32"/>
          <w:lang w:val="zh-CN"/>
        </w:rPr>
        <w:t>，现作如下承诺：</w:t>
      </w:r>
    </w:p>
    <w:p w14:paraId="1ECB90F5">
      <w:pPr>
        <w:pStyle w:val="28"/>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1.我公司参与此次</w:t>
      </w:r>
      <w:r>
        <w:rPr>
          <w:rFonts w:hint="eastAsia" w:ascii="仿宋_GB2312" w:hAnsi="仿宋_GB2312" w:eastAsia="仿宋_GB2312" w:cs="仿宋_GB2312"/>
          <w:sz w:val="32"/>
          <w:szCs w:val="32"/>
        </w:rPr>
        <w:t>询价</w:t>
      </w:r>
      <w:r>
        <w:rPr>
          <w:rFonts w:hint="eastAsia" w:ascii="仿宋_GB2312" w:hAnsi="仿宋_GB2312" w:eastAsia="仿宋_GB2312" w:cs="仿宋_GB2312"/>
          <w:sz w:val="32"/>
          <w:szCs w:val="32"/>
          <w:lang w:val="zh-CN"/>
        </w:rPr>
        <w:t>活动所提交的所有资料都是合法、真实、有效的。</w:t>
      </w:r>
    </w:p>
    <w:p w14:paraId="5EA05F85">
      <w:pPr>
        <w:pStyle w:val="28"/>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2.不与其他投标人串通投标、围标，依法、依规公平竞争，不损害招标人或其他投标人的合法权益。</w:t>
      </w:r>
    </w:p>
    <w:p w14:paraId="1638DF3C">
      <w:pPr>
        <w:pStyle w:val="28"/>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3.不转让、出租、出借资质证书、人员岗位证书，不以法律法规禁止的方式投标。</w:t>
      </w:r>
    </w:p>
    <w:p w14:paraId="2214E205">
      <w:pPr>
        <w:pStyle w:val="28"/>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4.不与招标人串通投标，不损害国家利益、社会公共利益或其他当事人的合法权益。</w:t>
      </w:r>
    </w:p>
    <w:p w14:paraId="1FF08524">
      <w:pPr>
        <w:pStyle w:val="28"/>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5.不向招标人、评标委员会成员、监督人员行贿。</w:t>
      </w:r>
    </w:p>
    <w:p w14:paraId="6CF4C9FE">
      <w:pPr>
        <w:pStyle w:val="28"/>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6.不扰乱秩序。</w:t>
      </w:r>
    </w:p>
    <w:p w14:paraId="3862DF00">
      <w:pPr>
        <w:pStyle w:val="28"/>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7.不进行虚假恶意投诉。</w:t>
      </w:r>
    </w:p>
    <w:p w14:paraId="60582B12">
      <w:pPr>
        <w:pStyle w:val="28"/>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8.因违反法律法规或相关规定被查处的，不干预案件查处。</w:t>
      </w:r>
    </w:p>
    <w:p w14:paraId="4A621084">
      <w:pPr>
        <w:pStyle w:val="28"/>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如出现违法、违规或不良行为，自愿接受纪检监察机关或司法机关调查处理。违法、违规或不良行为事实成立的，承担相关责任。给招标人造成损失的，依法承担赔偿责任。</w:t>
      </w:r>
    </w:p>
    <w:p w14:paraId="468C56D5">
      <w:pPr>
        <w:pStyle w:val="28"/>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zh-CN"/>
        </w:rPr>
      </w:pPr>
    </w:p>
    <w:p w14:paraId="28AFAEFE">
      <w:pPr>
        <w:pStyle w:val="28"/>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single"/>
          <w:lang w:val="zh-CN"/>
        </w:rPr>
      </w:pPr>
      <w:r>
        <w:rPr>
          <w:rFonts w:hint="eastAsia" w:ascii="仿宋_GB2312" w:hAnsi="仿宋_GB2312" w:eastAsia="仿宋_GB2312" w:cs="仿宋_GB2312"/>
          <w:sz w:val="32"/>
          <w:szCs w:val="32"/>
          <w:lang w:val="zh-CN"/>
        </w:rPr>
        <w:t>投标人（</w:t>
      </w:r>
      <w:r>
        <w:rPr>
          <w:rFonts w:hint="eastAsia" w:ascii="仿宋_GB2312" w:hAnsi="仿宋_GB2312" w:eastAsia="仿宋_GB2312" w:cs="仿宋_GB2312"/>
          <w:sz w:val="32"/>
          <w:szCs w:val="32"/>
        </w:rPr>
        <w:t>盖章</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u w:val="single"/>
          <w:lang w:val="zh-CN"/>
        </w:rPr>
        <w:t>_________________________________</w:t>
      </w:r>
    </w:p>
    <w:p w14:paraId="3D9BBFC4">
      <w:pPr>
        <w:pStyle w:val="28"/>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single"/>
          <w:lang w:val="zh-CN"/>
        </w:rPr>
      </w:pPr>
      <w:r>
        <w:rPr>
          <w:rFonts w:hint="eastAsia" w:ascii="仿宋_GB2312" w:hAnsi="仿宋_GB2312" w:eastAsia="仿宋_GB2312" w:cs="仿宋_GB2312"/>
          <w:sz w:val="32"/>
          <w:szCs w:val="32"/>
          <w:lang w:val="zh-CN"/>
        </w:rPr>
        <w:t>法定代表人（</w:t>
      </w:r>
      <w:r>
        <w:rPr>
          <w:rFonts w:hint="eastAsia" w:ascii="仿宋_GB2312" w:hAnsi="仿宋_GB2312" w:eastAsia="仿宋_GB2312" w:cs="仿宋_GB2312"/>
          <w:sz w:val="32"/>
          <w:szCs w:val="32"/>
        </w:rPr>
        <w:t>盖章</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u w:val="single"/>
          <w:lang w:val="zh-CN"/>
        </w:rPr>
        <w:t>________________________</w:t>
      </w:r>
    </w:p>
    <w:p w14:paraId="7361DFC5">
      <w:pPr>
        <w:pStyle w:val="28"/>
        <w:keepNext w:val="0"/>
        <w:keepLines w:val="0"/>
        <w:pageBreakBefore w:val="0"/>
        <w:widowControl w:val="0"/>
        <w:kinsoku/>
        <w:wordWrap/>
        <w:overflowPunct/>
        <w:topLinePunct w:val="0"/>
        <w:autoSpaceDE/>
        <w:autoSpaceDN/>
        <w:bidi w:val="0"/>
        <w:adjustRightInd/>
        <w:snapToGrid/>
        <w:spacing w:line="540" w:lineRule="exact"/>
        <w:ind w:firstLine="3520" w:firstLineChars="11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u w:val="single"/>
        </w:rPr>
        <w:t>________</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u w:val="single"/>
        </w:rPr>
        <w:t>_____</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u w:val="single"/>
        </w:rPr>
        <w:t>______</w:t>
      </w:r>
      <w:r>
        <w:rPr>
          <w:rFonts w:hint="eastAsia" w:ascii="仿宋_GB2312" w:hAnsi="仿宋_GB2312" w:eastAsia="仿宋_GB2312" w:cs="仿宋_GB2312"/>
          <w:color w:val="000000"/>
          <w:sz w:val="32"/>
          <w:szCs w:val="32"/>
        </w:rPr>
        <w:t>日</w:t>
      </w:r>
    </w:p>
    <w:p w14:paraId="6682647D">
      <w:pPr>
        <w:ind w:firstLine="640" w:firstLineChars="200"/>
        <w:rPr>
          <w:rFonts w:hint="eastAsia" w:ascii="仿宋_GB2312" w:hAnsi="仿宋_GB2312" w:eastAsia="仿宋_GB2312" w:cs="仿宋_GB2312"/>
          <w:color w:val="000000"/>
          <w:sz w:val="32"/>
          <w:szCs w:val="32"/>
        </w:rPr>
      </w:pPr>
    </w:p>
    <w:p w14:paraId="239A9D3C">
      <w:pPr>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附件</w:t>
      </w:r>
      <w:r>
        <w:rPr>
          <w:rFonts w:hint="eastAsia" w:ascii="仿宋_GB2312" w:hAnsi="仿宋_GB2312" w:eastAsia="仿宋_GB2312" w:cs="仿宋_GB2312"/>
          <w:color w:val="000000"/>
          <w:sz w:val="32"/>
          <w:szCs w:val="32"/>
          <w:lang w:val="en-US" w:eastAsia="zh-CN"/>
        </w:rPr>
        <w:t>四</w:t>
      </w:r>
      <w:r>
        <w:rPr>
          <w:rFonts w:hint="eastAsia" w:ascii="仿宋_GB2312" w:hAnsi="仿宋_GB2312" w:eastAsia="仿宋_GB2312" w:cs="仿宋_GB2312"/>
          <w:color w:val="000000"/>
          <w:sz w:val="32"/>
          <w:szCs w:val="32"/>
          <w:lang w:eastAsia="zh-CN"/>
        </w:rPr>
        <w:t>：</w:t>
      </w:r>
    </w:p>
    <w:p w14:paraId="1FD09B3F">
      <w:pPr>
        <w:pStyle w:val="28"/>
        <w:spacing w:line="360" w:lineRule="auto"/>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信誉承诺</w:t>
      </w:r>
    </w:p>
    <w:p w14:paraId="79F3AB12">
      <w:pPr>
        <w:pStyle w:val="28"/>
        <w:spacing w:line="360" w:lineRule="auto"/>
        <w:jc w:val="center"/>
        <w:rPr>
          <w:rFonts w:ascii="仿宋_GB2312" w:hAnsi="仿宋_GB2312" w:eastAsia="仿宋_GB2312" w:cs="仿宋_GB2312"/>
          <w:color w:val="000000"/>
          <w:sz w:val="32"/>
          <w:szCs w:val="32"/>
        </w:rPr>
      </w:pPr>
    </w:p>
    <w:p w14:paraId="08B3E5C8">
      <w:pPr>
        <w:pStyle w:val="28"/>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我公司2023年至今信誉良好，没有处于被责令停业，投标资格被取消，财产被接管、冻结、破产状态；没有骗取中标和严重违约的情况。</w:t>
      </w:r>
    </w:p>
    <w:p w14:paraId="48172CE3">
      <w:pPr>
        <w:pStyle w:val="28"/>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FF0000"/>
          <w:sz w:val="32"/>
          <w:szCs w:val="32"/>
        </w:rPr>
      </w:pPr>
      <w:r>
        <w:rPr>
          <w:rFonts w:hint="eastAsia" w:ascii="仿宋_GB2312" w:hAnsi="仿宋_GB2312" w:eastAsia="仿宋_GB2312" w:cs="仿宋_GB2312"/>
          <w:color w:val="000000"/>
          <w:sz w:val="32"/>
          <w:szCs w:val="32"/>
        </w:rPr>
        <w:t>附信用中国查询网络截图</w:t>
      </w:r>
    </w:p>
    <w:p w14:paraId="4A0EC9F3">
      <w:pPr>
        <w:pStyle w:val="28"/>
        <w:spacing w:line="360" w:lineRule="auto"/>
        <w:ind w:firstLine="640" w:firstLineChars="200"/>
        <w:rPr>
          <w:rFonts w:ascii="仿宋_GB2312" w:hAnsi="仿宋_GB2312" w:eastAsia="仿宋_GB2312" w:cs="仿宋_GB2312"/>
          <w:color w:val="000000"/>
          <w:sz w:val="32"/>
          <w:szCs w:val="32"/>
          <w:lang w:val="zh-CN"/>
        </w:rPr>
      </w:pPr>
    </w:p>
    <w:p w14:paraId="77D810DF">
      <w:pPr>
        <w:pStyle w:val="28"/>
        <w:spacing w:line="360" w:lineRule="auto"/>
        <w:ind w:firstLine="640" w:firstLineChars="200"/>
        <w:rPr>
          <w:rFonts w:ascii="仿宋_GB2312" w:hAnsi="仿宋_GB2312" w:eastAsia="仿宋_GB2312" w:cs="仿宋_GB2312"/>
          <w:color w:val="000000"/>
          <w:sz w:val="32"/>
          <w:szCs w:val="32"/>
          <w:lang w:val="zh-CN"/>
        </w:rPr>
      </w:pPr>
    </w:p>
    <w:p w14:paraId="2BE7CF0A">
      <w:pPr>
        <w:pStyle w:val="28"/>
        <w:spacing w:line="360" w:lineRule="auto"/>
        <w:ind w:firstLine="640" w:firstLineChars="200"/>
        <w:rPr>
          <w:rFonts w:ascii="仿宋_GB2312" w:hAnsi="仿宋_GB2312" w:eastAsia="仿宋_GB2312" w:cs="仿宋_GB2312"/>
          <w:color w:val="000000"/>
          <w:sz w:val="32"/>
          <w:szCs w:val="32"/>
          <w:u w:val="single"/>
          <w:lang w:val="zh-CN"/>
        </w:rPr>
      </w:pPr>
      <w:r>
        <w:rPr>
          <w:rFonts w:hint="eastAsia" w:ascii="仿宋_GB2312" w:hAnsi="仿宋_GB2312" w:eastAsia="仿宋_GB2312" w:cs="仿宋_GB2312"/>
          <w:color w:val="000000"/>
          <w:sz w:val="32"/>
          <w:szCs w:val="32"/>
          <w:lang w:val="zh-CN"/>
        </w:rPr>
        <w:t>单位名称：</w:t>
      </w:r>
      <w:r>
        <w:rPr>
          <w:rFonts w:hint="eastAsia" w:ascii="仿宋_GB2312" w:hAnsi="仿宋_GB2312" w:eastAsia="仿宋_GB2312" w:cs="仿宋_GB2312"/>
          <w:color w:val="000000"/>
          <w:sz w:val="32"/>
          <w:szCs w:val="32"/>
          <w:u w:val="single"/>
          <w:lang w:val="zh-CN"/>
        </w:rPr>
        <w:t>___________________________</w:t>
      </w:r>
      <w:r>
        <w:rPr>
          <w:rFonts w:hint="eastAsia" w:ascii="仿宋_GB2312" w:hAnsi="仿宋_GB2312" w:eastAsia="仿宋_GB2312" w:cs="仿宋_GB2312"/>
          <w:color w:val="000000"/>
          <w:sz w:val="32"/>
          <w:szCs w:val="32"/>
        </w:rPr>
        <w:t>（盖章）</w:t>
      </w:r>
    </w:p>
    <w:p w14:paraId="4F9A2AE2">
      <w:pPr>
        <w:pStyle w:val="28"/>
        <w:spacing w:line="360" w:lineRule="auto"/>
        <w:ind w:firstLine="640" w:firstLineChars="200"/>
        <w:rPr>
          <w:rFonts w:ascii="仿宋_GB2312" w:hAnsi="仿宋_GB2312" w:eastAsia="仿宋_GB2312" w:cs="仿宋_GB2312"/>
          <w:color w:val="000000"/>
          <w:sz w:val="32"/>
          <w:szCs w:val="32"/>
          <w:u w:val="single"/>
          <w:lang w:val="zh-CN"/>
        </w:rPr>
      </w:pPr>
      <w:r>
        <w:rPr>
          <w:rFonts w:hint="eastAsia" w:ascii="仿宋_GB2312" w:hAnsi="仿宋_GB2312" w:eastAsia="仿宋_GB2312" w:cs="仿宋_GB2312"/>
          <w:color w:val="000000"/>
          <w:sz w:val="32"/>
          <w:szCs w:val="32"/>
          <w:lang w:val="zh-CN"/>
        </w:rPr>
        <w:t>法定代表人：</w:t>
      </w:r>
      <w:r>
        <w:rPr>
          <w:rFonts w:hint="eastAsia" w:ascii="仿宋_GB2312" w:hAnsi="仿宋_GB2312" w:eastAsia="仿宋_GB2312" w:cs="仿宋_GB2312"/>
          <w:color w:val="000000"/>
          <w:sz w:val="32"/>
          <w:szCs w:val="32"/>
          <w:u w:val="single"/>
          <w:lang w:val="zh-CN"/>
        </w:rPr>
        <w:t>________________________</w:t>
      </w:r>
      <w:r>
        <w:rPr>
          <w:rFonts w:hint="eastAsia" w:ascii="仿宋_GB2312" w:hAnsi="仿宋_GB2312" w:eastAsia="仿宋_GB2312" w:cs="仿宋_GB2312"/>
          <w:color w:val="000000"/>
          <w:sz w:val="32"/>
          <w:szCs w:val="32"/>
          <w:lang w:val="zh-CN"/>
        </w:rPr>
        <w:t>（</w:t>
      </w:r>
      <w:r>
        <w:rPr>
          <w:rFonts w:hint="eastAsia" w:ascii="仿宋_GB2312" w:hAnsi="仿宋_GB2312" w:eastAsia="仿宋_GB2312" w:cs="仿宋_GB2312"/>
          <w:color w:val="000000"/>
          <w:sz w:val="32"/>
          <w:szCs w:val="32"/>
        </w:rPr>
        <w:t>签字或盖章</w:t>
      </w:r>
      <w:r>
        <w:rPr>
          <w:rFonts w:hint="eastAsia" w:ascii="仿宋_GB2312" w:hAnsi="仿宋_GB2312" w:eastAsia="仿宋_GB2312" w:cs="仿宋_GB2312"/>
          <w:color w:val="000000"/>
          <w:sz w:val="32"/>
          <w:szCs w:val="32"/>
          <w:lang w:val="zh-CN"/>
        </w:rPr>
        <w:t>）</w:t>
      </w:r>
    </w:p>
    <w:p w14:paraId="0646AA29">
      <w:pPr>
        <w:pStyle w:val="28"/>
        <w:spacing w:line="360" w:lineRule="auto"/>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u w:val="single"/>
        </w:rPr>
        <w:t>________</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u w:val="single"/>
        </w:rPr>
        <w:t>_____</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u w:val="single"/>
        </w:rPr>
        <w:t>______</w:t>
      </w:r>
      <w:r>
        <w:rPr>
          <w:rFonts w:hint="eastAsia" w:ascii="仿宋_GB2312" w:hAnsi="仿宋_GB2312" w:eastAsia="仿宋_GB2312" w:cs="仿宋_GB2312"/>
          <w:color w:val="000000"/>
          <w:sz w:val="32"/>
          <w:szCs w:val="32"/>
        </w:rPr>
        <w:t>日</w:t>
      </w:r>
    </w:p>
    <w:p w14:paraId="3083369C">
      <w:pPr>
        <w:pStyle w:val="28"/>
        <w:spacing w:line="360" w:lineRule="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br w:type="page"/>
      </w:r>
      <w:r>
        <w:rPr>
          <w:rFonts w:hint="eastAsia" w:ascii="仿宋_GB2312" w:hAnsi="仿宋_GB2312" w:eastAsia="仿宋_GB2312" w:cs="仿宋_GB2312"/>
          <w:color w:val="000000"/>
          <w:sz w:val="32"/>
          <w:szCs w:val="32"/>
        </w:rPr>
        <w:t>附件</w:t>
      </w:r>
      <w:r>
        <w:rPr>
          <w:rFonts w:hint="eastAsia" w:ascii="仿宋_GB2312" w:hAnsi="仿宋_GB2312" w:eastAsia="仿宋_GB2312" w:cs="仿宋_GB2312"/>
          <w:color w:val="000000"/>
          <w:sz w:val="32"/>
          <w:szCs w:val="32"/>
          <w:lang w:val="en-US" w:eastAsia="zh-CN"/>
        </w:rPr>
        <w:t>五：</w:t>
      </w:r>
    </w:p>
    <w:p w14:paraId="53E6A3EF">
      <w:pPr>
        <w:pStyle w:val="28"/>
        <w:keepNext w:val="0"/>
        <w:keepLines w:val="0"/>
        <w:pageBreakBefore w:val="0"/>
        <w:widowControl w:val="0"/>
        <w:kinsoku/>
        <w:wordWrap/>
        <w:overflowPunct/>
        <w:topLinePunct w:val="0"/>
        <w:autoSpaceDE/>
        <w:autoSpaceDN/>
        <w:bidi w:val="0"/>
        <w:adjustRightInd/>
        <w:snapToGrid/>
        <w:spacing w:line="580" w:lineRule="exact"/>
        <w:ind w:firstLine="64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竞价承诺函</w:t>
      </w:r>
    </w:p>
    <w:p w14:paraId="6EE06828">
      <w:pPr>
        <w:keepNext w:val="0"/>
        <w:keepLines w:val="0"/>
        <w:pageBreakBefore w:val="0"/>
        <w:widowControl w:val="0"/>
        <w:tabs>
          <w:tab w:val="left" w:pos="7560"/>
        </w:tabs>
        <w:kinsoku/>
        <w:wordWrap/>
        <w:overflowPunct/>
        <w:topLinePunct w:val="0"/>
        <w:autoSpaceDE/>
        <w:autoSpaceDN/>
        <w:bidi w:val="0"/>
        <w:adjustRightInd/>
        <w:snapToGrid/>
        <w:spacing w:before="148" w:beforeLines="50" w:line="58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1.</w:t>
      </w:r>
      <w:r>
        <w:rPr>
          <w:rFonts w:hint="eastAsia" w:ascii="仿宋_GB2312" w:hAnsi="仿宋_GB2312" w:eastAsia="仿宋_GB2312" w:cs="仿宋_GB2312"/>
          <w:color w:val="000000"/>
          <w:sz w:val="32"/>
          <w:szCs w:val="32"/>
        </w:rPr>
        <w:t>一旦我方竞价成功，我方保证在收到中标</w:t>
      </w:r>
      <w:r>
        <w:rPr>
          <w:rFonts w:hint="eastAsia" w:ascii="仿宋_GB2312" w:hAnsi="仿宋_GB2312" w:eastAsia="仿宋_GB2312" w:cs="仿宋_GB2312"/>
          <w:color w:val="000000"/>
          <w:sz w:val="32"/>
          <w:szCs w:val="32"/>
          <w:lang w:eastAsia="zh-CN"/>
        </w:rPr>
        <w:t>通知书</w:t>
      </w:r>
      <w:r>
        <w:rPr>
          <w:rFonts w:hint="eastAsia" w:ascii="仿宋_GB2312" w:hAnsi="仿宋_GB2312" w:eastAsia="仿宋_GB2312" w:cs="仿宋_GB2312"/>
          <w:color w:val="000000"/>
          <w:sz w:val="32"/>
          <w:szCs w:val="32"/>
        </w:rPr>
        <w:t>后，在招标人规定的时间内开始编制工作，并在合同书所规定的时间内完成工作。</w:t>
      </w:r>
    </w:p>
    <w:p w14:paraId="2606AF89">
      <w:pPr>
        <w:keepNext w:val="0"/>
        <w:keepLines w:val="0"/>
        <w:pageBreakBefore w:val="0"/>
        <w:widowControl w:val="0"/>
        <w:tabs>
          <w:tab w:val="left" w:pos="7560"/>
        </w:tabs>
        <w:kinsoku/>
        <w:wordWrap/>
        <w:overflowPunct/>
        <w:topLinePunct w:val="0"/>
        <w:autoSpaceDE/>
        <w:autoSpaceDN/>
        <w:bidi w:val="0"/>
        <w:adjustRightInd/>
        <w:snapToGrid/>
        <w:spacing w:before="148" w:beforeLines="50" w:line="58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2.</w:t>
      </w:r>
      <w:r>
        <w:rPr>
          <w:rFonts w:hint="eastAsia" w:ascii="仿宋_GB2312" w:hAnsi="仿宋_GB2312" w:eastAsia="仿宋_GB2312" w:cs="仿宋_GB2312"/>
          <w:color w:val="000000"/>
          <w:sz w:val="32"/>
          <w:szCs w:val="32"/>
        </w:rPr>
        <w:t>除非另外达成协议并生效，你方的中标通知和本竞价文件是我们双方合同的组成部分，我方愿</w:t>
      </w:r>
      <w:r>
        <w:rPr>
          <w:rFonts w:hint="eastAsia" w:ascii="仿宋_GB2312" w:hAnsi="仿宋_GB2312" w:eastAsia="仿宋_GB2312" w:cs="仿宋_GB2312"/>
          <w:color w:val="000000"/>
          <w:sz w:val="32"/>
          <w:szCs w:val="32"/>
          <w:lang w:eastAsia="zh-CN"/>
        </w:rPr>
        <w:t>按照《中华人民共和国</w:t>
      </w:r>
      <w:r>
        <w:rPr>
          <w:rFonts w:hint="eastAsia" w:ascii="仿宋_GB2312" w:hAnsi="仿宋_GB2312" w:eastAsia="仿宋_GB2312" w:cs="仿宋_GB2312"/>
          <w:color w:val="000000"/>
          <w:sz w:val="32"/>
          <w:szCs w:val="32"/>
        </w:rPr>
        <w:t>民法典》及其他有关</w:t>
      </w:r>
      <w:r>
        <w:rPr>
          <w:rFonts w:hint="eastAsia" w:ascii="仿宋_GB2312" w:hAnsi="仿宋_GB2312" w:eastAsia="仿宋_GB2312" w:cs="仿宋_GB2312"/>
          <w:color w:val="000000"/>
          <w:sz w:val="32"/>
          <w:szCs w:val="32"/>
          <w:lang w:eastAsia="zh-CN"/>
        </w:rPr>
        <w:t>法律法规</w:t>
      </w:r>
      <w:r>
        <w:rPr>
          <w:rFonts w:hint="eastAsia" w:ascii="仿宋_GB2312" w:hAnsi="仿宋_GB2312" w:eastAsia="仿宋_GB2312" w:cs="仿宋_GB2312"/>
          <w:color w:val="000000"/>
          <w:sz w:val="32"/>
          <w:szCs w:val="32"/>
        </w:rPr>
        <w:t>的规定，自觉履行自己的全部责任。</w:t>
      </w:r>
    </w:p>
    <w:p w14:paraId="33763510">
      <w:pPr>
        <w:keepNext w:val="0"/>
        <w:keepLines w:val="0"/>
        <w:pageBreakBefore w:val="0"/>
        <w:widowControl w:val="0"/>
        <w:tabs>
          <w:tab w:val="left" w:pos="7560"/>
        </w:tabs>
        <w:kinsoku/>
        <w:wordWrap/>
        <w:overflowPunct/>
        <w:topLinePunct w:val="0"/>
        <w:autoSpaceDE/>
        <w:autoSpaceDN/>
        <w:bidi w:val="0"/>
        <w:adjustRightInd/>
        <w:snapToGrid/>
        <w:spacing w:before="148" w:beforeLines="50" w:line="580" w:lineRule="exact"/>
        <w:ind w:left="1"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3.</w:t>
      </w:r>
      <w:r>
        <w:rPr>
          <w:rFonts w:hint="eastAsia" w:ascii="仿宋_GB2312" w:hAnsi="仿宋_GB2312" w:eastAsia="仿宋_GB2312" w:cs="仿宋_GB2312"/>
          <w:color w:val="000000"/>
          <w:sz w:val="32"/>
          <w:szCs w:val="32"/>
        </w:rPr>
        <w:t>在此我方郑重承诺：我方将按招标人的要求提供后续服务。</w:t>
      </w:r>
    </w:p>
    <w:p w14:paraId="0543ECE5">
      <w:pPr>
        <w:keepNext w:val="0"/>
        <w:keepLines w:val="0"/>
        <w:pageBreakBefore w:val="0"/>
        <w:widowControl w:val="0"/>
        <w:tabs>
          <w:tab w:val="left" w:pos="7560"/>
        </w:tabs>
        <w:kinsoku/>
        <w:wordWrap/>
        <w:overflowPunct/>
        <w:topLinePunct w:val="0"/>
        <w:autoSpaceDE/>
        <w:autoSpaceDN/>
        <w:bidi w:val="0"/>
        <w:adjustRightInd/>
        <w:snapToGrid/>
        <w:spacing w:before="148" w:beforeLines="50" w:line="580" w:lineRule="exact"/>
        <w:ind w:left="1"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4.若因我方过错或违约导致造成损失的，愿意承担全部损失并支付合同价款10%的违约金。</w:t>
      </w:r>
    </w:p>
    <w:p w14:paraId="0652733F">
      <w:pPr>
        <w:tabs>
          <w:tab w:val="left" w:pos="7560"/>
        </w:tabs>
        <w:spacing w:beforeLines="50" w:line="360" w:lineRule="auto"/>
        <w:ind w:left="1" w:firstLine="566" w:firstLineChars="177"/>
        <w:rPr>
          <w:rFonts w:ascii="仿宋_GB2312" w:hAnsi="仿宋_GB2312" w:eastAsia="仿宋_GB2312" w:cs="仿宋_GB2312"/>
          <w:color w:val="000000"/>
          <w:sz w:val="32"/>
          <w:szCs w:val="32"/>
        </w:rPr>
      </w:pPr>
    </w:p>
    <w:p w14:paraId="040E196E">
      <w:pPr>
        <w:pStyle w:val="28"/>
        <w:spacing w:line="360" w:lineRule="auto"/>
        <w:ind w:firstLine="640" w:firstLineChars="200"/>
        <w:rPr>
          <w:rFonts w:ascii="仿宋_GB2312" w:hAnsi="仿宋_GB2312" w:eastAsia="仿宋_GB2312" w:cs="仿宋_GB2312"/>
          <w:color w:val="000000"/>
          <w:sz w:val="32"/>
          <w:szCs w:val="32"/>
          <w:u w:val="single"/>
          <w:lang w:val="zh-CN"/>
        </w:rPr>
      </w:pPr>
      <w:r>
        <w:rPr>
          <w:rFonts w:hint="eastAsia" w:ascii="仿宋_GB2312" w:hAnsi="仿宋_GB2312" w:eastAsia="仿宋_GB2312" w:cs="仿宋_GB2312"/>
          <w:color w:val="000000"/>
          <w:sz w:val="32"/>
          <w:szCs w:val="32"/>
          <w:lang w:val="zh-CN"/>
        </w:rPr>
        <w:t>单位名称：</w:t>
      </w:r>
      <w:r>
        <w:rPr>
          <w:rFonts w:hint="eastAsia" w:ascii="仿宋_GB2312" w:hAnsi="仿宋_GB2312" w:eastAsia="仿宋_GB2312" w:cs="仿宋_GB2312"/>
          <w:color w:val="000000"/>
          <w:sz w:val="32"/>
          <w:szCs w:val="32"/>
          <w:u w:val="single"/>
          <w:lang w:val="zh-CN"/>
        </w:rPr>
        <w:t>___________________________</w:t>
      </w:r>
      <w:r>
        <w:rPr>
          <w:rFonts w:hint="eastAsia" w:ascii="仿宋_GB2312" w:hAnsi="仿宋_GB2312" w:eastAsia="仿宋_GB2312" w:cs="仿宋_GB2312"/>
          <w:color w:val="000000"/>
          <w:sz w:val="32"/>
          <w:szCs w:val="32"/>
        </w:rPr>
        <w:t>（盖章）</w:t>
      </w:r>
    </w:p>
    <w:p w14:paraId="5E4BCD78">
      <w:pPr>
        <w:pStyle w:val="28"/>
        <w:spacing w:line="360" w:lineRule="auto"/>
        <w:ind w:firstLine="640" w:firstLineChars="200"/>
        <w:rPr>
          <w:rFonts w:ascii="仿宋_GB2312" w:hAnsi="仿宋_GB2312" w:eastAsia="仿宋_GB2312" w:cs="仿宋_GB2312"/>
          <w:color w:val="000000"/>
          <w:sz w:val="32"/>
          <w:szCs w:val="32"/>
          <w:u w:val="single"/>
          <w:lang w:val="zh-CN"/>
        </w:rPr>
      </w:pPr>
      <w:r>
        <w:rPr>
          <w:rFonts w:hint="eastAsia" w:ascii="仿宋_GB2312" w:hAnsi="仿宋_GB2312" w:eastAsia="仿宋_GB2312" w:cs="仿宋_GB2312"/>
          <w:color w:val="000000"/>
          <w:sz w:val="32"/>
          <w:szCs w:val="32"/>
          <w:lang w:val="zh-CN"/>
        </w:rPr>
        <w:t>法定代表人：</w:t>
      </w:r>
      <w:r>
        <w:rPr>
          <w:rFonts w:hint="eastAsia" w:ascii="仿宋_GB2312" w:hAnsi="仿宋_GB2312" w:eastAsia="仿宋_GB2312" w:cs="仿宋_GB2312"/>
          <w:color w:val="000000"/>
          <w:sz w:val="32"/>
          <w:szCs w:val="32"/>
          <w:u w:val="single"/>
          <w:lang w:val="zh-CN"/>
        </w:rPr>
        <w:t>________________________</w:t>
      </w:r>
      <w:r>
        <w:rPr>
          <w:rFonts w:hint="eastAsia" w:ascii="仿宋_GB2312" w:hAnsi="仿宋_GB2312" w:eastAsia="仿宋_GB2312" w:cs="仿宋_GB2312"/>
          <w:color w:val="000000"/>
          <w:sz w:val="32"/>
          <w:szCs w:val="32"/>
          <w:lang w:val="zh-CN"/>
        </w:rPr>
        <w:t>（</w:t>
      </w:r>
      <w:r>
        <w:rPr>
          <w:rFonts w:hint="eastAsia" w:ascii="仿宋_GB2312" w:hAnsi="仿宋_GB2312" w:eastAsia="仿宋_GB2312" w:cs="仿宋_GB2312"/>
          <w:color w:val="000000"/>
          <w:sz w:val="32"/>
          <w:szCs w:val="32"/>
        </w:rPr>
        <w:t>签字或盖章</w:t>
      </w:r>
      <w:r>
        <w:rPr>
          <w:rFonts w:hint="eastAsia" w:ascii="仿宋_GB2312" w:hAnsi="仿宋_GB2312" w:eastAsia="仿宋_GB2312" w:cs="仿宋_GB2312"/>
          <w:color w:val="000000"/>
          <w:sz w:val="32"/>
          <w:szCs w:val="32"/>
          <w:lang w:val="zh-CN"/>
        </w:rPr>
        <w:t>）</w:t>
      </w:r>
    </w:p>
    <w:p w14:paraId="0EE92356">
      <w:pPr>
        <w:pStyle w:val="28"/>
        <w:spacing w:line="360" w:lineRule="auto"/>
        <w:ind w:firstLine="640"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u w:val="single"/>
        </w:rPr>
        <w:t>________</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u w:val="single"/>
        </w:rPr>
        <w:t>_____</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u w:val="single"/>
        </w:rPr>
        <w:t>______</w:t>
      </w:r>
      <w:r>
        <w:rPr>
          <w:rFonts w:hint="eastAsia" w:ascii="仿宋_GB2312" w:hAnsi="仿宋_GB2312" w:eastAsia="仿宋_GB2312" w:cs="仿宋_GB2312"/>
          <w:color w:val="000000"/>
          <w:sz w:val="32"/>
          <w:szCs w:val="32"/>
        </w:rPr>
        <w:t>日</w:t>
      </w:r>
      <w:r>
        <w:rPr>
          <w:rFonts w:hint="eastAsia" w:ascii="仿宋_GB2312" w:hAnsi="仿宋_GB2312" w:eastAsia="仿宋_GB2312" w:cs="仿宋_GB2312"/>
          <w:color w:val="000000"/>
          <w:sz w:val="32"/>
          <w:szCs w:val="32"/>
        </w:rPr>
        <w:br w:type="page"/>
      </w:r>
      <w:r>
        <w:rPr>
          <w:rFonts w:hint="eastAsia" w:ascii="仿宋_GB2312" w:hAnsi="仿宋_GB2312" w:eastAsia="仿宋_GB2312" w:cs="仿宋_GB2312"/>
          <w:color w:val="000000"/>
          <w:sz w:val="32"/>
          <w:szCs w:val="32"/>
        </w:rPr>
        <w:t>附件</w:t>
      </w:r>
      <w:r>
        <w:rPr>
          <w:rFonts w:hint="eastAsia" w:ascii="仿宋_GB2312" w:hAnsi="仿宋_GB2312" w:eastAsia="仿宋_GB2312" w:cs="仿宋_GB2312"/>
          <w:color w:val="000000"/>
          <w:sz w:val="32"/>
          <w:szCs w:val="32"/>
          <w:lang w:val="en-US" w:eastAsia="zh-CN"/>
        </w:rPr>
        <w:t>六</w:t>
      </w:r>
      <w:r>
        <w:rPr>
          <w:rFonts w:hint="eastAsia" w:ascii="仿宋_GB2312" w:hAnsi="仿宋_GB2312" w:eastAsia="仿宋_GB2312" w:cs="仿宋_GB2312"/>
          <w:color w:val="000000"/>
          <w:sz w:val="32"/>
          <w:szCs w:val="32"/>
          <w:lang w:eastAsia="zh-CN"/>
        </w:rPr>
        <w:t>：</w:t>
      </w:r>
    </w:p>
    <w:p w14:paraId="274B6716">
      <w:pPr>
        <w:pStyle w:val="28"/>
        <w:keepNext w:val="0"/>
        <w:keepLines w:val="0"/>
        <w:pageBreakBefore w:val="0"/>
        <w:widowControl w:val="0"/>
        <w:kinsoku/>
        <w:wordWrap/>
        <w:overflowPunct/>
        <w:topLinePunct w:val="0"/>
        <w:autoSpaceDE/>
        <w:autoSpaceDN/>
        <w:bidi w:val="0"/>
        <w:adjustRightInd/>
        <w:snapToGrid/>
        <w:spacing w:line="580" w:lineRule="exact"/>
        <w:ind w:firstLine="640" w:firstLineChars="200"/>
        <w:jc w:val="center"/>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其他材料</w:t>
      </w:r>
    </w:p>
    <w:p w14:paraId="30223819">
      <w:pPr>
        <w:keepNext w:val="0"/>
        <w:keepLines w:val="0"/>
        <w:pageBreakBefore w:val="0"/>
        <w:widowControl w:val="0"/>
        <w:numPr>
          <w:ilvl w:val="0"/>
          <w:numId w:val="0"/>
        </w:numPr>
        <w:tabs>
          <w:tab w:val="left" w:pos="7560"/>
        </w:tabs>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营业执照副本</w:t>
      </w:r>
      <w:r>
        <w:rPr>
          <w:rFonts w:hint="eastAsia" w:ascii="仿宋_GB2312" w:hAnsi="仿宋_GB2312" w:eastAsia="仿宋_GB2312" w:cs="仿宋_GB2312"/>
          <w:color w:val="000000"/>
          <w:sz w:val="32"/>
          <w:szCs w:val="32"/>
          <w:lang w:eastAsia="zh-CN"/>
        </w:rPr>
        <w:t>复印件</w:t>
      </w:r>
    </w:p>
    <w:p w14:paraId="725F9CE0">
      <w:pPr>
        <w:keepNext w:val="0"/>
        <w:keepLines w:val="0"/>
        <w:pageBreakBefore w:val="0"/>
        <w:widowControl w:val="0"/>
        <w:numPr>
          <w:ilvl w:val="0"/>
          <w:numId w:val="0"/>
        </w:numPr>
        <w:tabs>
          <w:tab w:val="left" w:pos="7560"/>
        </w:tabs>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2.资质文件</w:t>
      </w:r>
    </w:p>
    <w:p w14:paraId="454AA0A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其他文件（包含但不限于：包含但不限于：垃圾清运服务方案、项目作业方案、服务质量承诺及保证措施、违约处罚措施、项目实施团队、机械设备配置、类似业绩等）</w:t>
      </w:r>
    </w:p>
    <w:p w14:paraId="445E715A">
      <w:pPr>
        <w:keepNext w:val="0"/>
        <w:keepLines w:val="0"/>
        <w:pageBreakBefore w:val="0"/>
        <w:widowControl w:val="0"/>
        <w:numPr>
          <w:ilvl w:val="0"/>
          <w:numId w:val="0"/>
        </w:numPr>
        <w:tabs>
          <w:tab w:val="left" w:pos="7560"/>
        </w:tabs>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竞价人认为需要提交的其他材料（格式自拟）</w:t>
      </w:r>
    </w:p>
    <w:p w14:paraId="062BF334">
      <w:pPr>
        <w:pStyle w:val="2"/>
        <w:rPr>
          <w:rFonts w:ascii="宋体" w:hAnsi="宋体" w:cs="宋体"/>
          <w:szCs w:val="21"/>
        </w:rPr>
      </w:pPr>
    </w:p>
    <w:sectPr>
      <w:headerReference r:id="rId4" w:type="default"/>
      <w:footerReference r:id="rId5" w:type="default"/>
      <w:pgSz w:w="11906" w:h="16838"/>
      <w:pgMar w:top="1440" w:right="1080" w:bottom="1440" w:left="108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B69C33A-3A89-4C8C-A787-FBF79BB51BE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auto"/>
    <w:pitch w:val="default"/>
    <w:sig w:usb0="00000001" w:usb1="08000000" w:usb2="00000000" w:usb3="00000000" w:csb0="00040000" w:csb1="00000000"/>
    <w:embedRegular r:id="rId2" w:fontKey="{995797EB-C58A-401C-97B7-727FF7B8BC93}"/>
  </w:font>
  <w:font w:name="仿宋_GB2312">
    <w:panose1 w:val="02010609030101010101"/>
    <w:charset w:val="86"/>
    <w:family w:val="auto"/>
    <w:pitch w:val="default"/>
    <w:sig w:usb0="00000001" w:usb1="080E0000" w:usb2="00000000" w:usb3="00000000" w:csb0="00040000" w:csb1="00000000"/>
    <w:embedRegular r:id="rId3" w:fontKey="{187EF6F8-A5D1-4DEC-8D3F-97BF941B5BF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A83844">
    <w:pPr>
      <w:pStyle w:val="8"/>
    </w:pPr>
    <w:r>
      <w:rPr>
        <w:sz w:val="18"/>
      </w:rPr>
      <w:pict>
        <v:shape id="_x0000_s1029" o:spid="_x0000_s1029"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47C002BE">
                <w:pPr>
                  <w:pStyle w:val="8"/>
                </w:pPr>
                <w:r>
                  <w:t xml:space="preserve">第 </w:t>
                </w:r>
                <w:r>
                  <w:fldChar w:fldCharType="begin"/>
                </w:r>
                <w:r>
                  <w:instrText xml:space="preserve"> PAGE  \* MERGEFORMAT </w:instrText>
                </w:r>
                <w:r>
                  <w:fldChar w:fldCharType="separate"/>
                </w:r>
                <w:r>
                  <w:t>0</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v:textbox>
        </v:shape>
      </w:pict>
    </w:r>
    <w:r>
      <w:rPr>
        <w:sz w:val="18"/>
      </w:rPr>
      <w:pict>
        <v:shape id="_x0000_s1027" o:spid="_x0000_s102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13F61E77">
                <w:pPr>
                  <w:pStyle w:val="8"/>
                </w:pPr>
                <w:r>
                  <w:t xml:space="preserve">第 </w:t>
                </w:r>
                <w:r>
                  <w:rPr>
                    <w:rFonts w:hint="eastAsia"/>
                    <w:lang w:val="en-US" w:eastAsia="zh-CN"/>
                  </w:rPr>
                  <w:t>1</w:t>
                </w:r>
                <w:r>
                  <w:t xml:space="preserve"> 页 共 </w:t>
                </w:r>
                <w:r>
                  <w:fldChar w:fldCharType="begin"/>
                </w:r>
                <w:r>
                  <w:instrText xml:space="preserve"> NUMPAGES  \* MERGEFORMAT </w:instrText>
                </w:r>
                <w:r>
                  <w:fldChar w:fldCharType="separate"/>
                </w:r>
                <w:r>
                  <w:t>12</w:t>
                </w:r>
                <w:r>
                  <w:fldChar w:fldCharType="end"/>
                </w:r>
                <w:r>
                  <w:t xml:space="preserve"> 页</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0EEA6B">
    <w:pPr>
      <w:pStyle w:val="8"/>
      <w:spacing w:line="360" w:lineRule="auto"/>
    </w:pPr>
    <w:r>
      <w:rPr>
        <w:sz w:val="18"/>
      </w:rPr>
      <w:pict>
        <v:shape id="_x0000_s1028" o:spid="_x0000_s1028"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658AD2EF">
                <w:pPr>
                  <w:pStyle w:val="8"/>
                </w:pPr>
                <w:r>
                  <w:t xml:space="preserve">第 </w:t>
                </w:r>
                <w:r>
                  <w:fldChar w:fldCharType="begin"/>
                </w:r>
                <w:r>
                  <w:instrText xml:space="preserve"> PAGE  \* MERGEFORMAT </w:instrText>
                </w:r>
                <w:r>
                  <w:fldChar w:fldCharType="separate"/>
                </w:r>
                <w:r>
                  <w:t>9</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45911">
    <w:pPr>
      <w:pStyle w:val="9"/>
      <w:pBdr>
        <w:bottom w:val="none" w:color="auto" w:sz="0" w:space="0"/>
      </w:pBdr>
      <w:rPr>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HorizontalSpacing w:val="105"/>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777E45"/>
    <w:rsid w:val="000018B5"/>
    <w:rsid w:val="00004326"/>
    <w:rsid w:val="000103AC"/>
    <w:rsid w:val="00020248"/>
    <w:rsid w:val="0002173E"/>
    <w:rsid w:val="00024880"/>
    <w:rsid w:val="0002523C"/>
    <w:rsid w:val="000300F0"/>
    <w:rsid w:val="00035AA7"/>
    <w:rsid w:val="00040D5F"/>
    <w:rsid w:val="0005476D"/>
    <w:rsid w:val="000547BD"/>
    <w:rsid w:val="0005588D"/>
    <w:rsid w:val="0006339C"/>
    <w:rsid w:val="00063D8C"/>
    <w:rsid w:val="00063F13"/>
    <w:rsid w:val="00066AD1"/>
    <w:rsid w:val="00067AA7"/>
    <w:rsid w:val="00074B2D"/>
    <w:rsid w:val="00074BC0"/>
    <w:rsid w:val="0007669D"/>
    <w:rsid w:val="00077E58"/>
    <w:rsid w:val="0008057D"/>
    <w:rsid w:val="00082DFF"/>
    <w:rsid w:val="00096429"/>
    <w:rsid w:val="000A1EAF"/>
    <w:rsid w:val="000A21E3"/>
    <w:rsid w:val="000A41B9"/>
    <w:rsid w:val="000B4019"/>
    <w:rsid w:val="000D19D3"/>
    <w:rsid w:val="000D2EAA"/>
    <w:rsid w:val="000D5754"/>
    <w:rsid w:val="000E3A4D"/>
    <w:rsid w:val="000E55AF"/>
    <w:rsid w:val="000E6FB0"/>
    <w:rsid w:val="000E78FE"/>
    <w:rsid w:val="000F3538"/>
    <w:rsid w:val="001026B2"/>
    <w:rsid w:val="00103BBF"/>
    <w:rsid w:val="00117045"/>
    <w:rsid w:val="001234CE"/>
    <w:rsid w:val="001270B3"/>
    <w:rsid w:val="00134D6D"/>
    <w:rsid w:val="0013695D"/>
    <w:rsid w:val="00143052"/>
    <w:rsid w:val="001510B9"/>
    <w:rsid w:val="00153BF8"/>
    <w:rsid w:val="00156001"/>
    <w:rsid w:val="0015692A"/>
    <w:rsid w:val="00167DCA"/>
    <w:rsid w:val="0017095E"/>
    <w:rsid w:val="00170FAD"/>
    <w:rsid w:val="0019333A"/>
    <w:rsid w:val="001A5A14"/>
    <w:rsid w:val="001A710F"/>
    <w:rsid w:val="001B0231"/>
    <w:rsid w:val="001B4B1C"/>
    <w:rsid w:val="001C2DDF"/>
    <w:rsid w:val="001C533B"/>
    <w:rsid w:val="001D2D58"/>
    <w:rsid w:val="001E0733"/>
    <w:rsid w:val="001E7C87"/>
    <w:rsid w:val="001F20E6"/>
    <w:rsid w:val="001F6E48"/>
    <w:rsid w:val="001F7199"/>
    <w:rsid w:val="00203151"/>
    <w:rsid w:val="002063B6"/>
    <w:rsid w:val="00207DBD"/>
    <w:rsid w:val="002177A6"/>
    <w:rsid w:val="00223B81"/>
    <w:rsid w:val="0023003D"/>
    <w:rsid w:val="00237D72"/>
    <w:rsid w:val="00240013"/>
    <w:rsid w:val="002501F4"/>
    <w:rsid w:val="00262675"/>
    <w:rsid w:val="002640D4"/>
    <w:rsid w:val="00267F5C"/>
    <w:rsid w:val="002727F1"/>
    <w:rsid w:val="00274C7B"/>
    <w:rsid w:val="00275B0D"/>
    <w:rsid w:val="00280E65"/>
    <w:rsid w:val="002862DD"/>
    <w:rsid w:val="002951CE"/>
    <w:rsid w:val="00296765"/>
    <w:rsid w:val="00297398"/>
    <w:rsid w:val="002A290B"/>
    <w:rsid w:val="002B2D8D"/>
    <w:rsid w:val="002B6788"/>
    <w:rsid w:val="002C029E"/>
    <w:rsid w:val="002C0CE3"/>
    <w:rsid w:val="002C2CBC"/>
    <w:rsid w:val="002C4E96"/>
    <w:rsid w:val="002E1A99"/>
    <w:rsid w:val="002E4FBF"/>
    <w:rsid w:val="002E5706"/>
    <w:rsid w:val="002E5B11"/>
    <w:rsid w:val="002E6DD1"/>
    <w:rsid w:val="002E7F2D"/>
    <w:rsid w:val="00302FF8"/>
    <w:rsid w:val="00303C80"/>
    <w:rsid w:val="00304C6E"/>
    <w:rsid w:val="00307B3E"/>
    <w:rsid w:val="00310E26"/>
    <w:rsid w:val="00315D0D"/>
    <w:rsid w:val="00327CCE"/>
    <w:rsid w:val="0033774C"/>
    <w:rsid w:val="00347477"/>
    <w:rsid w:val="0035101A"/>
    <w:rsid w:val="00355928"/>
    <w:rsid w:val="00376A88"/>
    <w:rsid w:val="00386870"/>
    <w:rsid w:val="003939DB"/>
    <w:rsid w:val="003A43D5"/>
    <w:rsid w:val="003C39B5"/>
    <w:rsid w:val="003D1D3D"/>
    <w:rsid w:val="003D2546"/>
    <w:rsid w:val="003E01D8"/>
    <w:rsid w:val="003E205E"/>
    <w:rsid w:val="003F344D"/>
    <w:rsid w:val="003F50C3"/>
    <w:rsid w:val="00421F21"/>
    <w:rsid w:val="004252E8"/>
    <w:rsid w:val="0043350D"/>
    <w:rsid w:val="00440B75"/>
    <w:rsid w:val="004414B4"/>
    <w:rsid w:val="004551B8"/>
    <w:rsid w:val="0046119A"/>
    <w:rsid w:val="0046256A"/>
    <w:rsid w:val="00463F2B"/>
    <w:rsid w:val="00470380"/>
    <w:rsid w:val="0047718A"/>
    <w:rsid w:val="00497D9D"/>
    <w:rsid w:val="00497EB2"/>
    <w:rsid w:val="004A4CC2"/>
    <w:rsid w:val="004A5046"/>
    <w:rsid w:val="004A7B44"/>
    <w:rsid w:val="004B1902"/>
    <w:rsid w:val="004B316D"/>
    <w:rsid w:val="004B41C5"/>
    <w:rsid w:val="004C67B6"/>
    <w:rsid w:val="004D16E3"/>
    <w:rsid w:val="004F184F"/>
    <w:rsid w:val="004F3F93"/>
    <w:rsid w:val="004F5A02"/>
    <w:rsid w:val="00501374"/>
    <w:rsid w:val="005160B3"/>
    <w:rsid w:val="0051698D"/>
    <w:rsid w:val="00540094"/>
    <w:rsid w:val="00541FD9"/>
    <w:rsid w:val="00546B1A"/>
    <w:rsid w:val="00551FF1"/>
    <w:rsid w:val="00555BEC"/>
    <w:rsid w:val="00566B6A"/>
    <w:rsid w:val="005671CC"/>
    <w:rsid w:val="0057611E"/>
    <w:rsid w:val="00580E91"/>
    <w:rsid w:val="00591F40"/>
    <w:rsid w:val="00597FED"/>
    <w:rsid w:val="005A0942"/>
    <w:rsid w:val="005A1498"/>
    <w:rsid w:val="005A70AE"/>
    <w:rsid w:val="005B2399"/>
    <w:rsid w:val="005C56E4"/>
    <w:rsid w:val="005C65B9"/>
    <w:rsid w:val="005C7D75"/>
    <w:rsid w:val="005E068A"/>
    <w:rsid w:val="005E5DC1"/>
    <w:rsid w:val="005E7803"/>
    <w:rsid w:val="005F3ECB"/>
    <w:rsid w:val="005F40F0"/>
    <w:rsid w:val="005F76F8"/>
    <w:rsid w:val="006128A7"/>
    <w:rsid w:val="00615338"/>
    <w:rsid w:val="00615743"/>
    <w:rsid w:val="00617EF0"/>
    <w:rsid w:val="00630C02"/>
    <w:rsid w:val="00632F27"/>
    <w:rsid w:val="00634461"/>
    <w:rsid w:val="00637F9E"/>
    <w:rsid w:val="00646103"/>
    <w:rsid w:val="006608F2"/>
    <w:rsid w:val="00663ADC"/>
    <w:rsid w:val="00665800"/>
    <w:rsid w:val="006710AF"/>
    <w:rsid w:val="00674C21"/>
    <w:rsid w:val="006821A7"/>
    <w:rsid w:val="0068370A"/>
    <w:rsid w:val="00684657"/>
    <w:rsid w:val="006911DD"/>
    <w:rsid w:val="00692680"/>
    <w:rsid w:val="00693A07"/>
    <w:rsid w:val="00694589"/>
    <w:rsid w:val="00696CF3"/>
    <w:rsid w:val="006A1325"/>
    <w:rsid w:val="006A5998"/>
    <w:rsid w:val="006B6651"/>
    <w:rsid w:val="006C01FA"/>
    <w:rsid w:val="006C2C1B"/>
    <w:rsid w:val="006D6376"/>
    <w:rsid w:val="006D7300"/>
    <w:rsid w:val="006E1B5B"/>
    <w:rsid w:val="006E3A96"/>
    <w:rsid w:val="006E4CF4"/>
    <w:rsid w:val="006E6C07"/>
    <w:rsid w:val="006E73E7"/>
    <w:rsid w:val="006E7CB7"/>
    <w:rsid w:val="006F01EF"/>
    <w:rsid w:val="006F31C1"/>
    <w:rsid w:val="00726720"/>
    <w:rsid w:val="0073119F"/>
    <w:rsid w:val="00741D5E"/>
    <w:rsid w:val="00744422"/>
    <w:rsid w:val="00747818"/>
    <w:rsid w:val="00747999"/>
    <w:rsid w:val="00747B15"/>
    <w:rsid w:val="00754825"/>
    <w:rsid w:val="00766DF6"/>
    <w:rsid w:val="0077139A"/>
    <w:rsid w:val="00777E45"/>
    <w:rsid w:val="007802CC"/>
    <w:rsid w:val="007820B5"/>
    <w:rsid w:val="0078279D"/>
    <w:rsid w:val="00785C2F"/>
    <w:rsid w:val="0078767D"/>
    <w:rsid w:val="007A4B9A"/>
    <w:rsid w:val="007B2814"/>
    <w:rsid w:val="007B726F"/>
    <w:rsid w:val="007C592D"/>
    <w:rsid w:val="007D00DA"/>
    <w:rsid w:val="007D1AF7"/>
    <w:rsid w:val="007D360B"/>
    <w:rsid w:val="007D3B8C"/>
    <w:rsid w:val="007E121D"/>
    <w:rsid w:val="007E63CD"/>
    <w:rsid w:val="007F275B"/>
    <w:rsid w:val="007F573A"/>
    <w:rsid w:val="007F646A"/>
    <w:rsid w:val="007F731D"/>
    <w:rsid w:val="007F7F78"/>
    <w:rsid w:val="00802A2A"/>
    <w:rsid w:val="00813AC6"/>
    <w:rsid w:val="00816F4E"/>
    <w:rsid w:val="00821349"/>
    <w:rsid w:val="0082267A"/>
    <w:rsid w:val="00822DC5"/>
    <w:rsid w:val="00830D11"/>
    <w:rsid w:val="00831749"/>
    <w:rsid w:val="00832B2B"/>
    <w:rsid w:val="00841468"/>
    <w:rsid w:val="00847D20"/>
    <w:rsid w:val="00852301"/>
    <w:rsid w:val="0085349C"/>
    <w:rsid w:val="00857483"/>
    <w:rsid w:val="00861777"/>
    <w:rsid w:val="0086291D"/>
    <w:rsid w:val="00884DE9"/>
    <w:rsid w:val="008852AE"/>
    <w:rsid w:val="008878EC"/>
    <w:rsid w:val="008911F4"/>
    <w:rsid w:val="00891BFA"/>
    <w:rsid w:val="008A5A9C"/>
    <w:rsid w:val="008B7B4C"/>
    <w:rsid w:val="008D3484"/>
    <w:rsid w:val="008E14D5"/>
    <w:rsid w:val="008F1D5E"/>
    <w:rsid w:val="008F2C99"/>
    <w:rsid w:val="00923E5D"/>
    <w:rsid w:val="00925A29"/>
    <w:rsid w:val="009431D7"/>
    <w:rsid w:val="009519C1"/>
    <w:rsid w:val="00956AC3"/>
    <w:rsid w:val="0095709B"/>
    <w:rsid w:val="009647B4"/>
    <w:rsid w:val="00972431"/>
    <w:rsid w:val="009803C1"/>
    <w:rsid w:val="009809A9"/>
    <w:rsid w:val="00990FAD"/>
    <w:rsid w:val="00993A7A"/>
    <w:rsid w:val="00994AD6"/>
    <w:rsid w:val="009A016B"/>
    <w:rsid w:val="009A7D98"/>
    <w:rsid w:val="009B2309"/>
    <w:rsid w:val="009C7F58"/>
    <w:rsid w:val="009D103C"/>
    <w:rsid w:val="009D47BD"/>
    <w:rsid w:val="009E7379"/>
    <w:rsid w:val="00A037BA"/>
    <w:rsid w:val="00A10C79"/>
    <w:rsid w:val="00A328AC"/>
    <w:rsid w:val="00A33908"/>
    <w:rsid w:val="00A441CA"/>
    <w:rsid w:val="00A4490B"/>
    <w:rsid w:val="00A4789B"/>
    <w:rsid w:val="00A57FC4"/>
    <w:rsid w:val="00A63BCA"/>
    <w:rsid w:val="00A65587"/>
    <w:rsid w:val="00A7176B"/>
    <w:rsid w:val="00A738F2"/>
    <w:rsid w:val="00A7531A"/>
    <w:rsid w:val="00A77E9A"/>
    <w:rsid w:val="00A855A1"/>
    <w:rsid w:val="00A878D2"/>
    <w:rsid w:val="00A87CA6"/>
    <w:rsid w:val="00A90CDA"/>
    <w:rsid w:val="00AA0810"/>
    <w:rsid w:val="00AA342A"/>
    <w:rsid w:val="00AB2B29"/>
    <w:rsid w:val="00AC00EE"/>
    <w:rsid w:val="00AC2872"/>
    <w:rsid w:val="00AC46FD"/>
    <w:rsid w:val="00AC7AE6"/>
    <w:rsid w:val="00AD1B2B"/>
    <w:rsid w:val="00AD673F"/>
    <w:rsid w:val="00AE5BF5"/>
    <w:rsid w:val="00AF75D3"/>
    <w:rsid w:val="00AF7823"/>
    <w:rsid w:val="00B041B7"/>
    <w:rsid w:val="00B05979"/>
    <w:rsid w:val="00B05A8C"/>
    <w:rsid w:val="00B34163"/>
    <w:rsid w:val="00B46054"/>
    <w:rsid w:val="00B4684F"/>
    <w:rsid w:val="00B56D56"/>
    <w:rsid w:val="00B67947"/>
    <w:rsid w:val="00B75F4B"/>
    <w:rsid w:val="00B849B7"/>
    <w:rsid w:val="00B9003B"/>
    <w:rsid w:val="00B940CF"/>
    <w:rsid w:val="00BA056B"/>
    <w:rsid w:val="00BA660C"/>
    <w:rsid w:val="00BB1320"/>
    <w:rsid w:val="00BB3E1E"/>
    <w:rsid w:val="00BB5A87"/>
    <w:rsid w:val="00BC2E20"/>
    <w:rsid w:val="00BC37DD"/>
    <w:rsid w:val="00BC5D70"/>
    <w:rsid w:val="00BD07C7"/>
    <w:rsid w:val="00BD2029"/>
    <w:rsid w:val="00BD452A"/>
    <w:rsid w:val="00BE4942"/>
    <w:rsid w:val="00BF2388"/>
    <w:rsid w:val="00BF39C4"/>
    <w:rsid w:val="00C07B42"/>
    <w:rsid w:val="00C1708B"/>
    <w:rsid w:val="00C178D1"/>
    <w:rsid w:val="00C25BD4"/>
    <w:rsid w:val="00C27F3D"/>
    <w:rsid w:val="00C37648"/>
    <w:rsid w:val="00C447E2"/>
    <w:rsid w:val="00C45F9F"/>
    <w:rsid w:val="00C47CB9"/>
    <w:rsid w:val="00C631AB"/>
    <w:rsid w:val="00C652BD"/>
    <w:rsid w:val="00C65AA8"/>
    <w:rsid w:val="00C66946"/>
    <w:rsid w:val="00C8099C"/>
    <w:rsid w:val="00C94F34"/>
    <w:rsid w:val="00C96033"/>
    <w:rsid w:val="00CA103B"/>
    <w:rsid w:val="00CC07AF"/>
    <w:rsid w:val="00CC35A4"/>
    <w:rsid w:val="00CC6174"/>
    <w:rsid w:val="00CD0A7C"/>
    <w:rsid w:val="00CD1478"/>
    <w:rsid w:val="00CE4223"/>
    <w:rsid w:val="00CE7EF5"/>
    <w:rsid w:val="00CF0C57"/>
    <w:rsid w:val="00CF431E"/>
    <w:rsid w:val="00CF5029"/>
    <w:rsid w:val="00D0113B"/>
    <w:rsid w:val="00D0370D"/>
    <w:rsid w:val="00D043F3"/>
    <w:rsid w:val="00D12561"/>
    <w:rsid w:val="00D125ED"/>
    <w:rsid w:val="00D90A5A"/>
    <w:rsid w:val="00D9524E"/>
    <w:rsid w:val="00D96D4E"/>
    <w:rsid w:val="00DA077B"/>
    <w:rsid w:val="00DA5979"/>
    <w:rsid w:val="00DB0948"/>
    <w:rsid w:val="00DB7660"/>
    <w:rsid w:val="00DC5022"/>
    <w:rsid w:val="00DD29A3"/>
    <w:rsid w:val="00DD4F38"/>
    <w:rsid w:val="00DD646C"/>
    <w:rsid w:val="00DE5587"/>
    <w:rsid w:val="00DE736D"/>
    <w:rsid w:val="00DF1115"/>
    <w:rsid w:val="00DF1E94"/>
    <w:rsid w:val="00E05AB7"/>
    <w:rsid w:val="00E07741"/>
    <w:rsid w:val="00E149F6"/>
    <w:rsid w:val="00E22BAD"/>
    <w:rsid w:val="00E30CF6"/>
    <w:rsid w:val="00E45FAE"/>
    <w:rsid w:val="00E50A30"/>
    <w:rsid w:val="00E51CA7"/>
    <w:rsid w:val="00E5221D"/>
    <w:rsid w:val="00E604A1"/>
    <w:rsid w:val="00E61FB0"/>
    <w:rsid w:val="00E73C9C"/>
    <w:rsid w:val="00E76131"/>
    <w:rsid w:val="00E8626C"/>
    <w:rsid w:val="00E906F7"/>
    <w:rsid w:val="00E91F92"/>
    <w:rsid w:val="00E94BF5"/>
    <w:rsid w:val="00E97D1D"/>
    <w:rsid w:val="00EA0339"/>
    <w:rsid w:val="00EA1A06"/>
    <w:rsid w:val="00EA2086"/>
    <w:rsid w:val="00EB0DE9"/>
    <w:rsid w:val="00EB1457"/>
    <w:rsid w:val="00EC022D"/>
    <w:rsid w:val="00ED4632"/>
    <w:rsid w:val="00ED7384"/>
    <w:rsid w:val="00EE0E16"/>
    <w:rsid w:val="00EE1BA8"/>
    <w:rsid w:val="00EE230E"/>
    <w:rsid w:val="00EE32AA"/>
    <w:rsid w:val="00F0095A"/>
    <w:rsid w:val="00F03BF8"/>
    <w:rsid w:val="00F10714"/>
    <w:rsid w:val="00F17F52"/>
    <w:rsid w:val="00F259F7"/>
    <w:rsid w:val="00F4194E"/>
    <w:rsid w:val="00F45C8D"/>
    <w:rsid w:val="00F47351"/>
    <w:rsid w:val="00F51150"/>
    <w:rsid w:val="00F55ABB"/>
    <w:rsid w:val="00F60FD9"/>
    <w:rsid w:val="00F62AD2"/>
    <w:rsid w:val="00F703C7"/>
    <w:rsid w:val="00F70E8E"/>
    <w:rsid w:val="00F73123"/>
    <w:rsid w:val="00F77C5B"/>
    <w:rsid w:val="00F81A52"/>
    <w:rsid w:val="00F863D8"/>
    <w:rsid w:val="00F9212B"/>
    <w:rsid w:val="00F9346B"/>
    <w:rsid w:val="00FA1966"/>
    <w:rsid w:val="00FA3D9C"/>
    <w:rsid w:val="00FA65D8"/>
    <w:rsid w:val="00FB1860"/>
    <w:rsid w:val="00FB372B"/>
    <w:rsid w:val="00FC078A"/>
    <w:rsid w:val="00FC23AF"/>
    <w:rsid w:val="00FC3146"/>
    <w:rsid w:val="00FC4D72"/>
    <w:rsid w:val="00FC7F6B"/>
    <w:rsid w:val="00FD26B4"/>
    <w:rsid w:val="00FD5A0D"/>
    <w:rsid w:val="00FE1912"/>
    <w:rsid w:val="00FF13A3"/>
    <w:rsid w:val="01346248"/>
    <w:rsid w:val="017D7944"/>
    <w:rsid w:val="01D04A90"/>
    <w:rsid w:val="01FD3CA9"/>
    <w:rsid w:val="02414430"/>
    <w:rsid w:val="032E6309"/>
    <w:rsid w:val="03524F9B"/>
    <w:rsid w:val="038452A2"/>
    <w:rsid w:val="03B87ED0"/>
    <w:rsid w:val="03EA2651"/>
    <w:rsid w:val="03F812E4"/>
    <w:rsid w:val="04455AD9"/>
    <w:rsid w:val="04BE5FB8"/>
    <w:rsid w:val="04F90B91"/>
    <w:rsid w:val="04FF093E"/>
    <w:rsid w:val="051C10F3"/>
    <w:rsid w:val="052A53FB"/>
    <w:rsid w:val="05E64439"/>
    <w:rsid w:val="05F45A09"/>
    <w:rsid w:val="061D4A17"/>
    <w:rsid w:val="064D13BD"/>
    <w:rsid w:val="06566600"/>
    <w:rsid w:val="068C5EFB"/>
    <w:rsid w:val="0758291A"/>
    <w:rsid w:val="080556A5"/>
    <w:rsid w:val="0901477A"/>
    <w:rsid w:val="09172FB4"/>
    <w:rsid w:val="0A917CCA"/>
    <w:rsid w:val="0AC57974"/>
    <w:rsid w:val="0B12482A"/>
    <w:rsid w:val="0B362277"/>
    <w:rsid w:val="0C8C238E"/>
    <w:rsid w:val="0CE265BB"/>
    <w:rsid w:val="0D2300D9"/>
    <w:rsid w:val="0D242D64"/>
    <w:rsid w:val="0D6945E7"/>
    <w:rsid w:val="0DF742E8"/>
    <w:rsid w:val="0E097B78"/>
    <w:rsid w:val="0E53391F"/>
    <w:rsid w:val="0E5B54E7"/>
    <w:rsid w:val="0EC56195"/>
    <w:rsid w:val="0F5512C6"/>
    <w:rsid w:val="10DD4976"/>
    <w:rsid w:val="11021ECC"/>
    <w:rsid w:val="111D4066"/>
    <w:rsid w:val="117C1A53"/>
    <w:rsid w:val="12541629"/>
    <w:rsid w:val="125769AD"/>
    <w:rsid w:val="129E7A48"/>
    <w:rsid w:val="13160779"/>
    <w:rsid w:val="13307235"/>
    <w:rsid w:val="135C2F68"/>
    <w:rsid w:val="13983E78"/>
    <w:rsid w:val="13EB044B"/>
    <w:rsid w:val="147321EF"/>
    <w:rsid w:val="153F0643"/>
    <w:rsid w:val="15C42D02"/>
    <w:rsid w:val="15FE05E0"/>
    <w:rsid w:val="163D6C97"/>
    <w:rsid w:val="165A14B6"/>
    <w:rsid w:val="168A0688"/>
    <w:rsid w:val="16D05C0F"/>
    <w:rsid w:val="16FC471D"/>
    <w:rsid w:val="170F07A6"/>
    <w:rsid w:val="17237EFC"/>
    <w:rsid w:val="18972950"/>
    <w:rsid w:val="18A215DE"/>
    <w:rsid w:val="18BB352C"/>
    <w:rsid w:val="18EA1B5D"/>
    <w:rsid w:val="196071E6"/>
    <w:rsid w:val="19BE5D1C"/>
    <w:rsid w:val="1A0A53A3"/>
    <w:rsid w:val="1A514D80"/>
    <w:rsid w:val="1A563D75"/>
    <w:rsid w:val="1BC577D4"/>
    <w:rsid w:val="1C2D3EE0"/>
    <w:rsid w:val="1CF61EBF"/>
    <w:rsid w:val="1D3E783E"/>
    <w:rsid w:val="1D437FFE"/>
    <w:rsid w:val="1D9E7543"/>
    <w:rsid w:val="1DAF5717"/>
    <w:rsid w:val="1DCE52D4"/>
    <w:rsid w:val="1EF42CCE"/>
    <w:rsid w:val="202D1DEC"/>
    <w:rsid w:val="20A16631"/>
    <w:rsid w:val="20DA3293"/>
    <w:rsid w:val="215D225D"/>
    <w:rsid w:val="217952E8"/>
    <w:rsid w:val="21951DE7"/>
    <w:rsid w:val="21A86B87"/>
    <w:rsid w:val="21A92AF2"/>
    <w:rsid w:val="21E604A4"/>
    <w:rsid w:val="225638C3"/>
    <w:rsid w:val="22646422"/>
    <w:rsid w:val="243E23EE"/>
    <w:rsid w:val="247D530E"/>
    <w:rsid w:val="24A54462"/>
    <w:rsid w:val="24D04F38"/>
    <w:rsid w:val="24E011DB"/>
    <w:rsid w:val="253634F0"/>
    <w:rsid w:val="2545415A"/>
    <w:rsid w:val="25B20DC9"/>
    <w:rsid w:val="26257C95"/>
    <w:rsid w:val="26321DB7"/>
    <w:rsid w:val="265C523D"/>
    <w:rsid w:val="265F25D3"/>
    <w:rsid w:val="26BB3CAD"/>
    <w:rsid w:val="26E8081A"/>
    <w:rsid w:val="27806CA5"/>
    <w:rsid w:val="278434B1"/>
    <w:rsid w:val="279D44C4"/>
    <w:rsid w:val="279E3DEE"/>
    <w:rsid w:val="27AB1F74"/>
    <w:rsid w:val="27B40C6B"/>
    <w:rsid w:val="27FF4D7C"/>
    <w:rsid w:val="28ED036A"/>
    <w:rsid w:val="29086F52"/>
    <w:rsid w:val="291B752F"/>
    <w:rsid w:val="292E24A0"/>
    <w:rsid w:val="29841D35"/>
    <w:rsid w:val="298B4546"/>
    <w:rsid w:val="299F78B6"/>
    <w:rsid w:val="29E654E5"/>
    <w:rsid w:val="2A026B63"/>
    <w:rsid w:val="2AAF1545"/>
    <w:rsid w:val="2AED28A3"/>
    <w:rsid w:val="2AED63FF"/>
    <w:rsid w:val="2B193B3D"/>
    <w:rsid w:val="2BE06353"/>
    <w:rsid w:val="2C602C01"/>
    <w:rsid w:val="2CC13E88"/>
    <w:rsid w:val="2D1F486A"/>
    <w:rsid w:val="2E1D3E04"/>
    <w:rsid w:val="2E4E18AB"/>
    <w:rsid w:val="2EE64F30"/>
    <w:rsid w:val="2F37233F"/>
    <w:rsid w:val="2FDB2E6E"/>
    <w:rsid w:val="2FE36023"/>
    <w:rsid w:val="2FFF3A5C"/>
    <w:rsid w:val="309E3DAD"/>
    <w:rsid w:val="31732929"/>
    <w:rsid w:val="31FE605D"/>
    <w:rsid w:val="32290E1C"/>
    <w:rsid w:val="32676307"/>
    <w:rsid w:val="32782D08"/>
    <w:rsid w:val="327D62BB"/>
    <w:rsid w:val="32AE46C6"/>
    <w:rsid w:val="33D44600"/>
    <w:rsid w:val="33D575BD"/>
    <w:rsid w:val="33E56114"/>
    <w:rsid w:val="35361B2E"/>
    <w:rsid w:val="35586B6B"/>
    <w:rsid w:val="35956CD8"/>
    <w:rsid w:val="35C90E59"/>
    <w:rsid w:val="35E422CA"/>
    <w:rsid w:val="36DF5796"/>
    <w:rsid w:val="378E0F6A"/>
    <w:rsid w:val="379441F2"/>
    <w:rsid w:val="37C94C73"/>
    <w:rsid w:val="37CD3840"/>
    <w:rsid w:val="37E71BEC"/>
    <w:rsid w:val="38082ACA"/>
    <w:rsid w:val="38532726"/>
    <w:rsid w:val="38A667C6"/>
    <w:rsid w:val="38B2566F"/>
    <w:rsid w:val="390E1114"/>
    <w:rsid w:val="39763A64"/>
    <w:rsid w:val="39A46C4A"/>
    <w:rsid w:val="39FA6443"/>
    <w:rsid w:val="3A3B3330"/>
    <w:rsid w:val="3A6F5083"/>
    <w:rsid w:val="3B5BC526"/>
    <w:rsid w:val="3BD322AF"/>
    <w:rsid w:val="3C2A51BA"/>
    <w:rsid w:val="3C325E7E"/>
    <w:rsid w:val="3C485B8B"/>
    <w:rsid w:val="3C8B46B3"/>
    <w:rsid w:val="3CB14A6D"/>
    <w:rsid w:val="3D6A38DF"/>
    <w:rsid w:val="3DC51A53"/>
    <w:rsid w:val="3DE13E4D"/>
    <w:rsid w:val="3EF77D82"/>
    <w:rsid w:val="3F67750A"/>
    <w:rsid w:val="3F732611"/>
    <w:rsid w:val="3F7FB7EE"/>
    <w:rsid w:val="3F803817"/>
    <w:rsid w:val="3F9D651E"/>
    <w:rsid w:val="3FC138F0"/>
    <w:rsid w:val="408A5BEA"/>
    <w:rsid w:val="408D14D1"/>
    <w:rsid w:val="409E221E"/>
    <w:rsid w:val="40BA4B7E"/>
    <w:rsid w:val="40C357E1"/>
    <w:rsid w:val="40EA2ED0"/>
    <w:rsid w:val="416A0352"/>
    <w:rsid w:val="41D465BF"/>
    <w:rsid w:val="41D65E12"/>
    <w:rsid w:val="41F26C08"/>
    <w:rsid w:val="41FF7B87"/>
    <w:rsid w:val="43602222"/>
    <w:rsid w:val="438020AF"/>
    <w:rsid w:val="438970F8"/>
    <w:rsid w:val="43CA6DE5"/>
    <w:rsid w:val="442A5B77"/>
    <w:rsid w:val="447604CF"/>
    <w:rsid w:val="44E54871"/>
    <w:rsid w:val="45221B70"/>
    <w:rsid w:val="45682DFA"/>
    <w:rsid w:val="45806396"/>
    <w:rsid w:val="467D4684"/>
    <w:rsid w:val="46E96C29"/>
    <w:rsid w:val="474048F3"/>
    <w:rsid w:val="475E6263"/>
    <w:rsid w:val="47677C16"/>
    <w:rsid w:val="477B5D50"/>
    <w:rsid w:val="47D202A4"/>
    <w:rsid w:val="48244179"/>
    <w:rsid w:val="485633DE"/>
    <w:rsid w:val="48F21359"/>
    <w:rsid w:val="49431BB4"/>
    <w:rsid w:val="49511B28"/>
    <w:rsid w:val="495B2438"/>
    <w:rsid w:val="49AB34BB"/>
    <w:rsid w:val="4A0550BC"/>
    <w:rsid w:val="4AB80EF1"/>
    <w:rsid w:val="4ACA1250"/>
    <w:rsid w:val="4B4D6770"/>
    <w:rsid w:val="4B842010"/>
    <w:rsid w:val="4BD73B76"/>
    <w:rsid w:val="4C096A53"/>
    <w:rsid w:val="4C124726"/>
    <w:rsid w:val="4C4873FA"/>
    <w:rsid w:val="4C642ABF"/>
    <w:rsid w:val="4CFE5DF2"/>
    <w:rsid w:val="4D8B0B83"/>
    <w:rsid w:val="4E2878D6"/>
    <w:rsid w:val="4EC6733B"/>
    <w:rsid w:val="4F6E60C1"/>
    <w:rsid w:val="4F825223"/>
    <w:rsid w:val="4F8E0FB0"/>
    <w:rsid w:val="503C6DE6"/>
    <w:rsid w:val="50850654"/>
    <w:rsid w:val="50EA500B"/>
    <w:rsid w:val="510734C7"/>
    <w:rsid w:val="510E0CFA"/>
    <w:rsid w:val="517F39A6"/>
    <w:rsid w:val="51A02DA3"/>
    <w:rsid w:val="51CD023D"/>
    <w:rsid w:val="51F577C4"/>
    <w:rsid w:val="526A6404"/>
    <w:rsid w:val="528E70F7"/>
    <w:rsid w:val="52B83749"/>
    <w:rsid w:val="531F19B3"/>
    <w:rsid w:val="535702D3"/>
    <w:rsid w:val="536F5970"/>
    <w:rsid w:val="538D19F3"/>
    <w:rsid w:val="53C926D0"/>
    <w:rsid w:val="53EB5322"/>
    <w:rsid w:val="54414F02"/>
    <w:rsid w:val="555B0286"/>
    <w:rsid w:val="55B2620E"/>
    <w:rsid w:val="55C91693"/>
    <w:rsid w:val="55E916E0"/>
    <w:rsid w:val="565F3DA6"/>
    <w:rsid w:val="56D22E33"/>
    <w:rsid w:val="56D244BA"/>
    <w:rsid w:val="56F76B94"/>
    <w:rsid w:val="56FA5023"/>
    <w:rsid w:val="57E0F744"/>
    <w:rsid w:val="57F1093F"/>
    <w:rsid w:val="58162BE2"/>
    <w:rsid w:val="58535244"/>
    <w:rsid w:val="59542C14"/>
    <w:rsid w:val="596A0DE6"/>
    <w:rsid w:val="596F1F91"/>
    <w:rsid w:val="598161B0"/>
    <w:rsid w:val="59C63F80"/>
    <w:rsid w:val="5C3C4F10"/>
    <w:rsid w:val="5C5A36BE"/>
    <w:rsid w:val="5D9E1657"/>
    <w:rsid w:val="5E622685"/>
    <w:rsid w:val="5EA115A8"/>
    <w:rsid w:val="5EAEDAF0"/>
    <w:rsid w:val="5EB01596"/>
    <w:rsid w:val="5EC31183"/>
    <w:rsid w:val="5EDE3D8A"/>
    <w:rsid w:val="5F6A7930"/>
    <w:rsid w:val="5F991CCF"/>
    <w:rsid w:val="5FA216BC"/>
    <w:rsid w:val="5FB306AA"/>
    <w:rsid w:val="5FCB4CB4"/>
    <w:rsid w:val="606B014D"/>
    <w:rsid w:val="60830D81"/>
    <w:rsid w:val="62071900"/>
    <w:rsid w:val="621E197A"/>
    <w:rsid w:val="62D71EBB"/>
    <w:rsid w:val="631877B6"/>
    <w:rsid w:val="63473BF7"/>
    <w:rsid w:val="63B05C41"/>
    <w:rsid w:val="63C56EEF"/>
    <w:rsid w:val="64B259E8"/>
    <w:rsid w:val="66805D9E"/>
    <w:rsid w:val="67780823"/>
    <w:rsid w:val="679BF493"/>
    <w:rsid w:val="68B97345"/>
    <w:rsid w:val="68DD5436"/>
    <w:rsid w:val="68E32614"/>
    <w:rsid w:val="690802CD"/>
    <w:rsid w:val="693E784B"/>
    <w:rsid w:val="69B845EA"/>
    <w:rsid w:val="6A3148C7"/>
    <w:rsid w:val="6A520565"/>
    <w:rsid w:val="6A8120E5"/>
    <w:rsid w:val="6BD403A7"/>
    <w:rsid w:val="6BE77361"/>
    <w:rsid w:val="6C046B2A"/>
    <w:rsid w:val="6C0C1503"/>
    <w:rsid w:val="6C2C42D2"/>
    <w:rsid w:val="6C9B76C4"/>
    <w:rsid w:val="6C9F2CF6"/>
    <w:rsid w:val="6D6D214B"/>
    <w:rsid w:val="6E14501E"/>
    <w:rsid w:val="6E5A5127"/>
    <w:rsid w:val="6E6E0BD2"/>
    <w:rsid w:val="6E8B5617"/>
    <w:rsid w:val="6FB2387E"/>
    <w:rsid w:val="7048597B"/>
    <w:rsid w:val="711B2828"/>
    <w:rsid w:val="718760A4"/>
    <w:rsid w:val="724C122A"/>
    <w:rsid w:val="726119F5"/>
    <w:rsid w:val="728D4E2E"/>
    <w:rsid w:val="732857F3"/>
    <w:rsid w:val="73683E42"/>
    <w:rsid w:val="73F531FC"/>
    <w:rsid w:val="7492403D"/>
    <w:rsid w:val="750774EA"/>
    <w:rsid w:val="754A7206"/>
    <w:rsid w:val="75673DA9"/>
    <w:rsid w:val="75DC0018"/>
    <w:rsid w:val="75ED062E"/>
    <w:rsid w:val="76672068"/>
    <w:rsid w:val="76870A83"/>
    <w:rsid w:val="76A258BD"/>
    <w:rsid w:val="76D57A40"/>
    <w:rsid w:val="76EB7264"/>
    <w:rsid w:val="77C166A7"/>
    <w:rsid w:val="77F959B0"/>
    <w:rsid w:val="78360441"/>
    <w:rsid w:val="784B788E"/>
    <w:rsid w:val="78764386"/>
    <w:rsid w:val="78A43B6E"/>
    <w:rsid w:val="790818F6"/>
    <w:rsid w:val="793E1182"/>
    <w:rsid w:val="79D041B3"/>
    <w:rsid w:val="79EF6414"/>
    <w:rsid w:val="7A592736"/>
    <w:rsid w:val="7A681106"/>
    <w:rsid w:val="7AF6385F"/>
    <w:rsid w:val="7BA3051E"/>
    <w:rsid w:val="7BCB31C0"/>
    <w:rsid w:val="7C605FFE"/>
    <w:rsid w:val="7E8E5223"/>
    <w:rsid w:val="7E996D01"/>
    <w:rsid w:val="7E9F0934"/>
    <w:rsid w:val="7EFBF7DF"/>
    <w:rsid w:val="7F8848A8"/>
    <w:rsid w:val="A37F02CA"/>
    <w:rsid w:val="AD3A8E27"/>
    <w:rsid w:val="AFF6D148"/>
    <w:rsid w:val="BF7F046D"/>
    <w:rsid w:val="DCF74910"/>
    <w:rsid w:val="DD14826F"/>
    <w:rsid w:val="EFDC4343"/>
    <w:rsid w:val="F3D08D0C"/>
    <w:rsid w:val="FDBE8147"/>
    <w:rsid w:val="FEDF7F98"/>
    <w:rsid w:val="FFEF881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99"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22"/>
    <w:qFormat/>
    <w:uiPriority w:val="0"/>
    <w:pPr>
      <w:keepNext/>
      <w:keepLines/>
      <w:widowControl/>
      <w:spacing w:before="260" w:after="260" w:line="413" w:lineRule="auto"/>
      <w:jc w:val="left"/>
      <w:outlineLvl w:val="1"/>
    </w:pPr>
    <w:rPr>
      <w:rFonts w:ascii="等线" w:hAnsi="等线" w:eastAsia="微软雅黑"/>
      <w:b/>
      <w:bCs/>
      <w:kern w:val="0"/>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4">
    <w:name w:val="annotation text"/>
    <w:basedOn w:val="1"/>
    <w:semiHidden/>
    <w:qFormat/>
    <w:uiPriority w:val="0"/>
    <w:pPr>
      <w:jc w:val="left"/>
    </w:pPr>
  </w:style>
  <w:style w:type="paragraph" w:styleId="5">
    <w:name w:val="Body Text Indent"/>
    <w:basedOn w:val="1"/>
    <w:qFormat/>
    <w:uiPriority w:val="0"/>
    <w:pPr>
      <w:spacing w:after="120"/>
      <w:ind w:left="420"/>
    </w:pPr>
  </w:style>
  <w:style w:type="paragraph" w:styleId="6">
    <w:name w:val="Date"/>
    <w:basedOn w:val="1"/>
    <w:next w:val="1"/>
    <w:link w:val="19"/>
    <w:qFormat/>
    <w:uiPriority w:val="0"/>
    <w:pPr>
      <w:ind w:left="100" w:leftChars="2500"/>
    </w:pPr>
  </w:style>
  <w:style w:type="paragraph" w:styleId="7">
    <w:name w:val="Balloon Text"/>
    <w:basedOn w:val="1"/>
    <w:semiHidden/>
    <w:qFormat/>
    <w:uiPriority w:val="0"/>
    <w:rPr>
      <w:sz w:val="18"/>
      <w:szCs w:val="18"/>
    </w:rPr>
  </w:style>
  <w:style w:type="paragraph" w:styleId="8">
    <w:name w:val="footer"/>
    <w:basedOn w:val="1"/>
    <w:link w:val="18"/>
    <w:qFormat/>
    <w:uiPriority w:val="99"/>
    <w:pPr>
      <w:tabs>
        <w:tab w:val="center" w:pos="4153"/>
        <w:tab w:val="right" w:pos="8306"/>
      </w:tabs>
      <w:snapToGrid w:val="0"/>
      <w:jc w:val="left"/>
    </w:pPr>
    <w:rPr>
      <w:sz w:val="18"/>
      <w:szCs w:val="18"/>
    </w:rPr>
  </w:style>
  <w:style w:type="paragraph" w:styleId="9">
    <w:name w:val="header"/>
    <w:basedOn w:val="1"/>
    <w:link w:val="17"/>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100" w:beforeAutospacing="1" w:after="100" w:afterAutospacing="1"/>
      <w:jc w:val="left"/>
    </w:pPr>
    <w:rPr>
      <w:kern w:val="0"/>
      <w:sz w:val="24"/>
    </w:rPr>
  </w:style>
  <w:style w:type="paragraph" w:styleId="11">
    <w:name w:val="annotation subject"/>
    <w:basedOn w:val="4"/>
    <w:next w:val="4"/>
    <w:semiHidden/>
    <w:qFormat/>
    <w:uiPriority w:val="0"/>
    <w:rPr>
      <w:b/>
      <w:bCs/>
    </w:rPr>
  </w:style>
  <w:style w:type="paragraph" w:styleId="12">
    <w:name w:val="Body Text First Indent 2"/>
    <w:basedOn w:val="5"/>
    <w:qFormat/>
    <w:uiPriority w:val="0"/>
    <w:pPr>
      <w:ind w:left="200" w:leftChars="200" w:firstLine="420" w:firstLineChars="200"/>
    </w:pPr>
  </w:style>
  <w:style w:type="character" w:styleId="15">
    <w:name w:val="Strong"/>
    <w:basedOn w:val="14"/>
    <w:qFormat/>
    <w:uiPriority w:val="0"/>
    <w:rPr>
      <w:b/>
    </w:rPr>
  </w:style>
  <w:style w:type="character" w:styleId="16">
    <w:name w:val="annotation reference"/>
    <w:basedOn w:val="14"/>
    <w:semiHidden/>
    <w:qFormat/>
    <w:uiPriority w:val="0"/>
    <w:rPr>
      <w:sz w:val="21"/>
      <w:szCs w:val="21"/>
    </w:rPr>
  </w:style>
  <w:style w:type="character" w:customStyle="1" w:styleId="17">
    <w:name w:val="页眉 Char"/>
    <w:basedOn w:val="14"/>
    <w:link w:val="9"/>
    <w:qFormat/>
    <w:uiPriority w:val="0"/>
    <w:rPr>
      <w:kern w:val="2"/>
      <w:sz w:val="18"/>
      <w:szCs w:val="18"/>
    </w:rPr>
  </w:style>
  <w:style w:type="character" w:customStyle="1" w:styleId="18">
    <w:name w:val="页脚 Char"/>
    <w:basedOn w:val="14"/>
    <w:link w:val="8"/>
    <w:qFormat/>
    <w:uiPriority w:val="0"/>
    <w:rPr>
      <w:kern w:val="2"/>
      <w:sz w:val="18"/>
      <w:szCs w:val="18"/>
    </w:rPr>
  </w:style>
  <w:style w:type="character" w:customStyle="1" w:styleId="19">
    <w:name w:val="日期 Char"/>
    <w:basedOn w:val="14"/>
    <w:link w:val="6"/>
    <w:qFormat/>
    <w:uiPriority w:val="0"/>
    <w:rPr>
      <w:kern w:val="2"/>
      <w:sz w:val="21"/>
      <w:szCs w:val="24"/>
    </w:rPr>
  </w:style>
  <w:style w:type="paragraph" w:styleId="20">
    <w:name w:val="List Paragraph"/>
    <w:basedOn w:val="1"/>
    <w:qFormat/>
    <w:uiPriority w:val="99"/>
    <w:pPr>
      <w:ind w:firstLine="420" w:firstLineChars="200"/>
    </w:pPr>
  </w:style>
  <w:style w:type="character" w:customStyle="1" w:styleId="21">
    <w:name w:val="标题 2 字符"/>
    <w:basedOn w:val="14"/>
    <w:semiHidden/>
    <w:qFormat/>
    <w:uiPriority w:val="0"/>
    <w:rPr>
      <w:rFonts w:asciiTheme="majorHAnsi" w:hAnsiTheme="majorHAnsi" w:eastAsiaTheme="majorEastAsia" w:cstheme="majorBidi"/>
      <w:b/>
      <w:bCs/>
      <w:kern w:val="2"/>
      <w:sz w:val="32"/>
      <w:szCs w:val="32"/>
    </w:rPr>
  </w:style>
  <w:style w:type="character" w:customStyle="1" w:styleId="22">
    <w:name w:val="标题 2 Char"/>
    <w:link w:val="3"/>
    <w:qFormat/>
    <w:uiPriority w:val="0"/>
    <w:rPr>
      <w:rFonts w:ascii="等线" w:hAnsi="等线" w:eastAsia="微软雅黑"/>
      <w:b/>
      <w:bCs/>
      <w:sz w:val="32"/>
      <w:szCs w:val="32"/>
    </w:rPr>
  </w:style>
  <w:style w:type="character" w:customStyle="1" w:styleId="23">
    <w:name w:val="页脚 Char2"/>
    <w:qFormat/>
    <w:uiPriority w:val="99"/>
    <w:rPr>
      <w:sz w:val="18"/>
    </w:rPr>
  </w:style>
  <w:style w:type="character" w:customStyle="1" w:styleId="24">
    <w:name w:val="页眉 Char2"/>
    <w:qFormat/>
    <w:uiPriority w:val="99"/>
    <w:rPr>
      <w:sz w:val="18"/>
    </w:rPr>
  </w:style>
  <w:style w:type="paragraph" w:customStyle="1" w:styleId="25">
    <w:name w:val="Normal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6">
    <w:name w:val="Body text|1"/>
    <w:basedOn w:val="1"/>
    <w:qFormat/>
    <w:uiPriority w:val="0"/>
    <w:pPr>
      <w:spacing w:after="120" w:line="430" w:lineRule="auto"/>
    </w:pPr>
    <w:rPr>
      <w:rFonts w:ascii="宋体" w:hAnsi="宋体" w:cs="宋体"/>
      <w:color w:val="21408D"/>
      <w:sz w:val="22"/>
      <w:szCs w:val="22"/>
      <w:lang w:val="zh-TW" w:eastAsia="zh-TW" w:bidi="zh-TW"/>
    </w:rPr>
  </w:style>
  <w:style w:type="paragraph" w:customStyle="1" w:styleId="27">
    <w:name w:val="Body text|2"/>
    <w:basedOn w:val="1"/>
    <w:qFormat/>
    <w:uiPriority w:val="0"/>
    <w:pPr>
      <w:spacing w:line="319" w:lineRule="auto"/>
      <w:ind w:firstLine="420"/>
    </w:pPr>
    <w:rPr>
      <w:color w:val="21408D"/>
      <w:sz w:val="22"/>
      <w:szCs w:val="22"/>
      <w:lang w:val="zh-TW" w:eastAsia="zh-TW" w:bidi="zh-TW"/>
    </w:rPr>
  </w:style>
  <w:style w:type="paragraph" w:customStyle="1" w:styleId="28">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
    <w:name w:val="正文_2"/>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9" textRotate="1"/>
    <customShpInfo spid="_x0000_s1027" textRotate="1"/>
    <customShpInfo spid="_x0000_s1028" textRotate="1"/>
  </customShpExts>
</s:customData>
</file>

<file path=customXml/item2.xml><?xml version="1.0" encoding="utf-8"?>
<contractReview xmlns="http://schemas.wps.cn/vas-ai-hub/contract-review">
  <reviewItems>
    <reviewItem>
      <errorID>297879cf-d3ef-4f29-831a-ccc568561f29</errorID>
      <errorWord>日至2026年</errorWord>
      <group>L1_Word</group>
      <groupName>字词问题</groupName>
      <ability>L2_Typo</ability>
      <abilityName>字词错误</abilityName>
      <candidateList>
        <item>日起至2026年</item>
      </candidateList>
      <explain/>
      <paraID> D8A1965</paraID>
      <start>16</start>
      <end>23</end>
      <status>unmodified</status>
      <modifiedWord/>
      <trackRevisions>false</trackRevisions>
    </reviewItem>
    <reviewItem>
      <errorID>45e4de5a-a0a0-405a-8c83-8cbef223e225</errorID>
      <errorWord>(</errorWord>
      <group>L1_Format</group>
      <groupName>格式问题</groupName>
      <ability>L2_HalfPunc_CN</ability>
      <abilityName>全半角问题</abilityName>
      <candidateList>
        <item>（</item>
      </candidateList>
      <explain>文本全半角错误。</explain>
      <paraID>5564FCB1</paraID>
      <start>26</start>
      <end>27</end>
      <status>unmodified</status>
      <modifiedWord/>
      <trackRevisions>false</trackRevisions>
    </reviewItem>
    <reviewItem>
      <errorID>3153c07c-2226-448e-afe7-e96968685176</errorID>
      <errorWord>)</errorWord>
      <group>L1_Format</group>
      <groupName>格式问题</groupName>
      <ability>L2_HalfPunc_CN</ability>
      <abilityName>全半角问题</abilityName>
      <candidateList>
        <item>）</item>
      </candidateList>
      <explain>文本全半角错误。</explain>
      <paraID>5564FCB1</paraID>
      <start>36</start>
      <end>37</end>
      <status>unmodified</status>
      <modifiedWord/>
      <trackRevisions>false</trackRevisions>
    </reviewItem>
    <reviewItem>
      <errorID>11a30a00-97f4-4268-8508-f3f2926563ec</errorID>
      <errorWord>(</errorWord>
      <group>L1_Format</group>
      <groupName>格式问题</groupName>
      <ability>L2_HalfPunc_CN</ability>
      <abilityName>全半角问题</abilityName>
      <candidateList>
        <item>（</item>
      </candidateList>
      <explain>文本全半角错误。</explain>
      <paraID>5564FCB1</paraID>
      <start>44</start>
      <end>45</end>
      <status>unmodified</status>
      <modifiedWord/>
      <trackRevisions>false</trackRevisions>
    </reviewItem>
    <reviewItem>
      <errorID>92d6e1a7-fa98-4b4b-8e2e-c9d0d908fd85</errorID>
      <errorWord>)</errorWord>
      <group>L1_Format</group>
      <groupName>格式问题</groupName>
      <ability>L2_HalfPunc_CN</ability>
      <abilityName>全半角问题</abilityName>
      <candidateList>
        <item>）</item>
      </candidateList>
      <explain>文本全半角错误。</explain>
      <paraID>5564FCB1</paraID>
      <start>52</start>
      <end>53</end>
      <status>unmodified</status>
      <modifiedWord/>
      <trackRevisions>false</trackRevisions>
    </reviewItem>
    <reviewItem>
      <errorID>eb74cb69-6c59-4846-8912-73f5a7af821a</errorID>
      <errorWord>(</errorWord>
      <group>L1_Format</group>
      <groupName>格式问题</groupName>
      <ability>L2_HalfPunc_CN</ability>
      <abilityName>全半角问题</abilityName>
      <candidateList>
        <item>（</item>
      </candidateList>
      <explain>文本全半角错误。</explain>
      <paraID>5564FCB1</paraID>
      <start>57</start>
      <end>58</end>
      <status>unmodified</status>
      <modifiedWord/>
      <trackRevisions>false</trackRevisions>
    </reviewItem>
    <reviewItem>
      <errorID>d69e20aa-4399-43ab-847f-ef199b4eb9f5</errorID>
      <errorWord>)</errorWord>
      <group>L1_Format</group>
      <groupName>格式问题</groupName>
      <ability>L2_HalfPunc_CN</ability>
      <abilityName>全半角问题</abilityName>
      <candidateList>
        <item>）</item>
      </candidateList>
      <explain>文本全半角错误。</explain>
      <paraID>5564FCB1</paraID>
      <start>70</start>
      <end>71</end>
      <status>unmodified</status>
      <modifiedWord/>
      <trackRevisions>false</trackRevisions>
    </reviewItem>
    <reviewItem>
      <errorID>d254bdcd-c89c-49e9-9e42-6226e30f29ce</errorID>
      <errorWord>(</errorWord>
      <group>L1_Format</group>
      <groupName>格式问题</groupName>
      <ability>L2_HalfPunc_CN</ability>
      <abilityName>全半角问题</abilityName>
      <candidateList>
        <item>（</item>
      </candidateList>
      <explain>文本全半角错误。</explain>
      <paraID>5564FCB1</paraID>
      <start>76</start>
      <end>77</end>
      <status>unmodified</status>
      <modifiedWord/>
      <trackRevisions>false</trackRevisions>
    </reviewItem>
    <reviewItem>
      <errorID>c6e4dccb-96f3-44e2-a695-2c63b5727faf</errorID>
      <errorWord>)</errorWord>
      <group>L1_Format</group>
      <groupName>格式问题</groupName>
      <ability>L2_HalfPunc_CN</ability>
      <abilityName>全半角问题</abilityName>
      <candidateList>
        <item>）</item>
      </candidateList>
      <explain>文本全半角错误。</explain>
      <paraID>5564FCB1</paraID>
      <start>96</start>
      <end>97</end>
      <status>unmodified</status>
      <modifiedWord/>
      <trackRevisions>false</trackRevisions>
    </reviewItem>
    <reviewItem>
      <errorID>60ed27f5-fea5-45da-a8b3-53d877b3571a</errorID>
      <errorWord>(</errorWord>
      <group>L1_Format</group>
      <groupName>格式问题</groupName>
      <ability>L2_HalfPunc_CN</ability>
      <abilityName>全半角问题</abilityName>
      <candidateList>
        <item>（</item>
      </candidateList>
      <explain>文本全半角错误。</explain>
      <paraID>5564FCB1</paraID>
      <start>145</start>
      <end>146</end>
      <status>unmodified</status>
      <modifiedWord/>
      <trackRevisions>false</trackRevisions>
    </reviewItem>
    <reviewItem>
      <errorID>fa554e51-a057-4206-8464-419bfbcf79cb</errorID>
      <errorWord>)</errorWord>
      <group>L1_Format</group>
      <groupName>格式问题</groupName>
      <ability>L2_HalfPunc_CN</ability>
      <abilityName>全半角问题</abilityName>
      <candidateList>
        <item>）</item>
      </candidateList>
      <explain>文本全半角错误。</explain>
      <paraID>5564FCB1</paraID>
      <start>155</start>
      <end>156</end>
      <status>unmodified</status>
      <modifiedWord/>
      <trackRevisions>false</trackRevisions>
    </reviewItem>
    <reviewItem>
      <errorID>ab041fbe-46ef-481c-b3cb-0bce7ce6eea2</errorID>
      <errorWord>电梯、自动消防系统</errorWord>
      <group>L1_Grammar</group>
      <groupName>语法问题</groupName>
      <ability>L2_Order</ability>
      <abilityName>语序不当</abilityName>
      <candidateList>
        <item>自动消防系统、电梯</item>
      </candidateList>
      <explain>句子可能没有遵循时空、逻辑顺序，或者介词、关联词等位置不当。</explain>
      <paraID>4EF7BDBD</paraID>
      <start>14</start>
      <end>23</end>
      <status>unmodified</status>
      <modifiedWord/>
      <trackRevisions>false</trackRevisions>
    </reviewItem>
    <reviewItem>
      <errorID>8350a47e-490a-4981-9494-42305abf2892</errorID>
      <errorWord>,</errorWord>
      <group>L1_Format</group>
      <groupName>格式问题</groupName>
      <ability>L2_HalfPunc_CN</ability>
      <abilityName>全半角问题</abilityName>
      <candidateList>
        <item>，</item>
      </candidateList>
      <explain>文本全半角错误。</explain>
      <paraID>4B6B3CFC</paraID>
      <start>35</start>
      <end>36</end>
      <status>unmodified</status>
      <modifiedWord/>
      <trackRevisions>false</trackRevisions>
    </reviewItem>
    <reviewItem>
      <errorID>d3ae4f86-7841-420a-a436-6310392402c1</errorID>
      <errorWord>处于</errorWord>
      <group>L1_Word</group>
      <groupName>字词问题</groupName>
      <ability>L2_Typo</ability>
      <abilityName>字词错误</abilityName>
      <candidateList>
        <item>出于</item>
      </candidateList>
      <explain/>
      <paraID>6CEB2B63</paraID>
      <start>72</start>
      <end>74</end>
      <status>unmodified</status>
      <modifiedWord/>
      <trackRevisions>false</trackRevisions>
    </reviewItem>
    <reviewItem>
      <errorID>88187811-f45f-451e-a0d2-a8331ffb16d9</errorID>
      <errorWord>日至2026年</errorWord>
      <group>L1_Word</group>
      <groupName>字词问题</groupName>
      <ability>L2_Typo</ability>
      <abilityName>字词错误</abilityName>
      <candidateList>
        <item>日起至2026年</item>
      </candidateList>
      <explain/>
      <paraID>3FC0E21D</paraID>
      <start>21</start>
      <end>28</end>
      <status>unmodified</status>
      <modifiedWord/>
      <trackRevisions>false</trackRevisions>
    </reviewItem>
    <reviewItem>
      <errorID>6514cedf-593b-4799-9e0d-4714a582b32f</errorID>
      <errorWord>(</errorWord>
      <group>L1_Format</group>
      <groupName>格式问题</groupName>
      <ability>L2_HalfPunc_CN</ability>
      <abilityName>全半角问题</abilityName>
      <candidateList>
        <item>（</item>
      </candidateList>
      <explain>文本全半角错误。</explain>
      <paraID>195719F8</paraID>
      <start>16</start>
      <end>17</end>
      <status>unmodified</status>
      <modifiedWord/>
      <trackRevisions>false</trackRevisions>
    </reviewItem>
    <reviewItem>
      <errorID>4e3a3c9e-824b-4717-8a1b-652237215bb6</errorID>
      <errorWord>)</errorWord>
      <group>L1_Format</group>
      <groupName>格式问题</groupName>
      <ability>L2_HalfPunc_CN</ability>
      <abilityName>全半角问题</abilityName>
      <candidateList>
        <item>）</item>
      </candidateList>
      <explain>文本全半角错误。</explain>
      <paraID>195719F8</paraID>
      <start>24</start>
      <end>25</end>
      <status>unmodified</status>
      <modifiedWord/>
      <trackRevisions>false</trackRevisions>
    </reviewItem>
    <reviewItem>
      <errorID>9c395832-0d28-4477-9471-02d5d67d2e30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1743B356</paraID>
      <start>58</start>
      <end>59</end>
      <status>unmodified</status>
      <modifiedWord/>
      <trackRevisions>false</trackRevisions>
    </reviewItem>
    <reviewItem>
      <errorID>a810b009-4a9d-4bdf-a5ec-29b9c33b0f42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134AF273</paraID>
      <start>39</start>
      <end>40</end>
      <status>unmodified</status>
      <modifiedWord/>
      <trackRevisions>false</trackRevisions>
    </reviewItem>
    <reviewItem>
      <errorID>9118d167-bb0d-426f-a0c5-8a8191f46cfd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344AD806</paraID>
      <start>28</start>
      <end>29</end>
      <status>unmodified</status>
      <modifiedWord/>
      <trackRevisions>false</trackRevisions>
    </reviewItem>
    <reviewItem>
      <errorID>f6f0a670-8b2c-48bc-816f-8f184cfef053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4DB70CD7</paraID>
      <start>55</start>
      <end>56</end>
      <status>unmodified</status>
      <modifiedWord/>
      <trackRevisions>false</trackRevisions>
    </reviewItem>
    <reviewItem>
      <errorID>50387144-f697-4c91-b263-bbd2c601d4f0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1876EFF6</paraID>
      <start>57</start>
      <end>58</end>
      <status>unmodified</status>
      <modifiedWord/>
      <trackRevisions>false</trackRevisions>
    </reviewItem>
    <reviewItem>
      <errorID>b2685804-8b86-491a-b380-bcb725ca1c7e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7F85316B</paraID>
      <start>50</start>
      <end>51</end>
      <status>unmodified</status>
      <modifiedWord/>
      <trackRevisions>false</trackRevisions>
    </reviewItem>
    <reviewItem>
      <errorID>7dfd6721-affb-42cf-af52-8d65d8495ce0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54A5C596</paraID>
      <start>63</start>
      <end>64</end>
      <status>unmodified</status>
      <modifiedWord/>
      <trackRevisions>false</trackRevisions>
    </reviewItem>
    <reviewItem>
      <errorID>11170a41-f6c3-4053-88ea-89655ee2c5f6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361575C1</paraID>
      <start>67</start>
      <end>68</end>
      <status>unmodified</status>
      <modifiedWord/>
      <trackRevisions>false</trackRevisions>
    </reviewItem>
    <reviewItem>
      <errorID>202bdaee-e9df-4220-b22d-2fbe1fa39142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31B1D581</paraID>
      <start>48</start>
      <end>49</end>
      <status>unmodified</status>
      <modifiedWord/>
      <trackRevisions>false</trackRevisions>
    </reviewItem>
    <reviewItem>
      <errorID>b9805094-7768-4861-9ce2-f33f414d4822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3F480689</paraID>
      <start>44</start>
      <end>45</end>
      <status>unmodified</status>
      <modifiedWord/>
      <trackRevisions>false</trackRevisions>
    </reviewItem>
    <reviewItem>
      <errorID>3e3ff27c-ae8e-4f77-9eff-e8b231f5c3de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681781BE</paraID>
      <start>41</start>
      <end>42</end>
      <status>unmodified</status>
      <modifiedWord/>
      <trackRevisions>false</trackRevisions>
    </reviewItem>
    <reviewItem>
      <errorID>a704a507-8038-4c61-8e4c-c041ad88ec04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302C4D52</paraID>
      <start>65</start>
      <end>66</end>
      <status>unmodified</status>
      <modifiedWord/>
      <trackRevisions>false</trackRevisions>
    </reviewItem>
    <reviewItem>
      <errorID>0c8fb881-db63-47a7-a405-7401fb9ef161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BF64397</paraID>
      <start>55</start>
      <end>56</end>
      <status>unmodified</status>
      <modifiedWord/>
      <trackRevisions>false</trackRevisions>
    </reviewItem>
    <reviewItem>
      <errorID>099c5024-d55f-4772-b39d-a6d3fd229ce5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2BE4DE08</paraID>
      <start>46</start>
      <end>47</end>
      <status>unmodified</status>
      <modifiedWord/>
      <trackRevisions>false</trackRevisions>
    </reviewItem>
    <reviewItem>
      <errorID>773984c9-511f-4fcf-bbeb-86de22d18c20</errorID>
      <errorWord>(</errorWord>
      <group>L1_Format</group>
      <groupName>格式问题</groupName>
      <ability>L2_HalfPunc_CN</ability>
      <abilityName>全半角问题</abilityName>
      <candidateList>
        <item>（</item>
      </candidateList>
      <explain>文本全半角错误。</explain>
      <paraID>37637B5E</paraID>
      <start>2</start>
      <end>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4f8331-b5e6-4d27-a93b-3ba47d975270}">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12</Pages>
  <Words>1803</Words>
  <Characters>1926</Characters>
  <Lines>25</Lines>
  <Paragraphs>7</Paragraphs>
  <TotalTime>7</TotalTime>
  <ScaleCrop>false</ScaleCrop>
  <LinksUpToDate>false</LinksUpToDate>
  <CharactersWithSpaces>1927</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2020-09-03T03:20:00Z</dcterms:created>
  <dc:creator>lenovo</dc:creator>
  <cp:lastModifiedBy>WPS_1474425476</cp:lastModifiedBy>
  <cp:lastPrinted>2017-08-03T07:39:00Z</cp:lastPrinted>
  <dcterms:modified xsi:type="dcterms:W3CDTF">2026-07-31T04:07:06Z</dcterms:modified>
  <dc:title>昆明城市污水处理运营有限责任公司2014年更新改造</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741A7AF1F0B3414481117F67D9C78263_13</vt:lpwstr>
  </property>
  <property fmtid="{D5CDD505-2E9C-101B-9397-08002B2CF9AE}" pid="4" name="KSOTemplateDocerSaveRecord">
    <vt:lpwstr>eyJoZGlkIjoiYjNkYzlmNmQ5NThhMjJhOWUwNDM3ZjA4YmFiMTRiMWUiLCJ1c2VySWQiOiIyNDEzNjgyNDMifQ==</vt:lpwstr>
  </property>
</Properties>
</file>